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E6C" w:rsidRDefault="00FA3E6C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FA3E6C" w:rsidRDefault="00FA3E6C">
      <w:pPr>
        <w:pStyle w:val="ConsPlusNormal"/>
        <w:jc w:val="both"/>
        <w:outlineLvl w:val="0"/>
      </w:pPr>
    </w:p>
    <w:p w:rsidR="00FA3E6C" w:rsidRDefault="00FA3E6C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FA3E6C" w:rsidRDefault="00FA3E6C">
      <w:pPr>
        <w:pStyle w:val="ConsPlusTitle"/>
        <w:jc w:val="center"/>
      </w:pPr>
    </w:p>
    <w:p w:rsidR="00FA3E6C" w:rsidRDefault="00FA3E6C">
      <w:pPr>
        <w:pStyle w:val="ConsPlusTitle"/>
        <w:jc w:val="center"/>
      </w:pPr>
      <w:r>
        <w:t>ПОСТАНОВЛЕНИЕ</w:t>
      </w:r>
    </w:p>
    <w:p w:rsidR="00FA3E6C" w:rsidRDefault="00FA3E6C">
      <w:pPr>
        <w:pStyle w:val="ConsPlusTitle"/>
        <w:jc w:val="center"/>
      </w:pPr>
      <w:r>
        <w:t>от 5 августа 2015 г. N 603</w:t>
      </w:r>
    </w:p>
    <w:p w:rsidR="00FA3E6C" w:rsidRDefault="00FA3E6C">
      <w:pPr>
        <w:pStyle w:val="ConsPlusTitle"/>
        <w:jc w:val="center"/>
      </w:pPr>
    </w:p>
    <w:p w:rsidR="00FA3E6C" w:rsidRDefault="00FA3E6C">
      <w:pPr>
        <w:pStyle w:val="ConsPlusTitle"/>
        <w:jc w:val="center"/>
      </w:pPr>
      <w:r>
        <w:t>ОБ УТВЕРЖДЕНИИ ПРОЕКТА ПЛАНИРОВКИ ТЕРРИТОРИИ КВАРТАЛА,</w:t>
      </w:r>
    </w:p>
    <w:p w:rsidR="00FA3E6C" w:rsidRDefault="00FA3E6C">
      <w:pPr>
        <w:pStyle w:val="ConsPlusTitle"/>
        <w:jc w:val="center"/>
      </w:pPr>
      <w:r>
        <w:t>ОГРАНИЧЕННОГО УЛИЦАМИ: ДИМИТРОВА, КРАСНОГВАРДЕЙЦА ЗУБРИЛОВА,</w:t>
      </w:r>
    </w:p>
    <w:p w:rsidR="00FA3E6C" w:rsidRDefault="00FA3E6C">
      <w:pPr>
        <w:pStyle w:val="ConsPlusTitle"/>
        <w:jc w:val="center"/>
      </w:pPr>
      <w:r>
        <w:t>НАБЕРЕЖНАЯ В ГОРОДСКОМ ОКРУГЕ ГОРОД ВОРОНЕЖ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ind w:firstLine="540"/>
        <w:jc w:val="both"/>
      </w:pPr>
      <w:r>
        <w:t xml:space="preserve">В соответствии с Градостроительным </w:t>
      </w:r>
      <w:hyperlink r:id="rId6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Федерации", </w:t>
      </w:r>
      <w:hyperlink r:id="rId8">
        <w:r>
          <w:rPr>
            <w:color w:val="0000FF"/>
          </w:rPr>
          <w:t>постановлением</w:t>
        </w:r>
      </w:hyperlink>
      <w:r>
        <w:t xml:space="preserve"> Воронежской городской Думы от 27.10.2004 N 150-I "Об Уставе городского округа город Воронеж", в целях реализации Генерального </w:t>
      </w:r>
      <w:hyperlink r:id="rId9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на основании заявления Капустина Олега Юрьевича, в связи с исполнением </w:t>
      </w:r>
      <w:hyperlink r:id="rId10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12.03.2012 N 202 "О подготовке проекта планировки территории квартала, ограниченного улицами: Димитрова, Красногвардейца Зубрилова, Набережная в городском округе город Воронеж", с учетом заключения от 16.04.2015 о результатах публичных слушаний по проекту планировки территории квартала, ограниченного улицами: Димитрова, Красногвардейца Зубрилова, Набережная в городском округе город Воронеж, администрация городского округа город Воронеж постановляет: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 xml:space="preserve">Утвердить прилагаемый </w:t>
      </w:r>
      <w:hyperlink w:anchor="P27">
        <w:r>
          <w:rPr>
            <w:color w:val="0000FF"/>
          </w:rPr>
          <w:t>проект</w:t>
        </w:r>
      </w:hyperlink>
      <w:r>
        <w:t xml:space="preserve"> планировки территории квартала, ограниченного улицами: Димитрова, Красногвардейца Зубрилова, Набережная в городском округе город Воронеж.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right"/>
      </w:pPr>
      <w:r>
        <w:t>Глава городского</w:t>
      </w:r>
    </w:p>
    <w:p w:rsidR="00FA3E6C" w:rsidRDefault="00FA3E6C">
      <w:pPr>
        <w:pStyle w:val="ConsPlusNormal"/>
        <w:jc w:val="right"/>
      </w:pPr>
      <w:r>
        <w:t>округа город Воронеж</w:t>
      </w:r>
    </w:p>
    <w:p w:rsidR="00FA3E6C" w:rsidRDefault="00FA3E6C">
      <w:pPr>
        <w:pStyle w:val="ConsPlusNormal"/>
        <w:jc w:val="right"/>
      </w:pPr>
      <w:r>
        <w:t>А.В.ГУСЕВ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right"/>
        <w:outlineLvl w:val="0"/>
      </w:pPr>
      <w:r>
        <w:t>Утвержден</w:t>
      </w:r>
    </w:p>
    <w:p w:rsidR="00FA3E6C" w:rsidRDefault="00FA3E6C">
      <w:pPr>
        <w:pStyle w:val="ConsPlusNormal"/>
        <w:jc w:val="right"/>
      </w:pPr>
      <w:r>
        <w:t>постановлением</w:t>
      </w:r>
    </w:p>
    <w:p w:rsidR="00FA3E6C" w:rsidRDefault="00FA3E6C">
      <w:pPr>
        <w:pStyle w:val="ConsPlusNormal"/>
        <w:jc w:val="right"/>
      </w:pPr>
      <w:r>
        <w:t>администрации городского</w:t>
      </w:r>
    </w:p>
    <w:p w:rsidR="00FA3E6C" w:rsidRDefault="00FA3E6C">
      <w:pPr>
        <w:pStyle w:val="ConsPlusNormal"/>
        <w:jc w:val="right"/>
      </w:pPr>
      <w:r>
        <w:t>округа город Воронеж</w:t>
      </w:r>
    </w:p>
    <w:p w:rsidR="00FA3E6C" w:rsidRDefault="00FA3E6C">
      <w:pPr>
        <w:pStyle w:val="ConsPlusNormal"/>
        <w:jc w:val="right"/>
      </w:pPr>
      <w:r>
        <w:t>от 05.08.2015 N 603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Title"/>
        <w:jc w:val="center"/>
      </w:pPr>
      <w:bookmarkStart w:id="0" w:name="P27"/>
      <w:bookmarkEnd w:id="0"/>
      <w:r>
        <w:t>ПРОЕКТ</w:t>
      </w:r>
    </w:p>
    <w:p w:rsidR="00FA3E6C" w:rsidRDefault="00FA3E6C">
      <w:pPr>
        <w:pStyle w:val="ConsPlusTitle"/>
        <w:jc w:val="center"/>
      </w:pPr>
      <w:r>
        <w:t>ПЛАНИРОВКИ ТЕРРИТОРИИ КВАРТАЛА, ОГРАНИЧЕННОГО УЛИЦАМИ:</w:t>
      </w:r>
    </w:p>
    <w:p w:rsidR="00FA3E6C" w:rsidRDefault="00FA3E6C">
      <w:pPr>
        <w:pStyle w:val="ConsPlusTitle"/>
        <w:jc w:val="center"/>
      </w:pPr>
      <w:r>
        <w:t>ДИМИТРОВА, КРАСНОГВАРДЕЙЦА ЗУБРИЛОВА,</w:t>
      </w:r>
    </w:p>
    <w:p w:rsidR="00FA3E6C" w:rsidRDefault="00FA3E6C">
      <w:pPr>
        <w:pStyle w:val="ConsPlusTitle"/>
        <w:jc w:val="center"/>
      </w:pPr>
      <w:r>
        <w:t>НАБЕРЕЖНАЯ В ГОРОДСКОМ ОКРУГЕ ГОРОД ВОРОНЕЖ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ind w:firstLine="540"/>
        <w:jc w:val="both"/>
      </w:pPr>
      <w:r>
        <w:t xml:space="preserve">1. </w:t>
      </w:r>
      <w:hyperlink w:anchor="P51">
        <w:r>
          <w:rPr>
            <w:color w:val="0000FF"/>
          </w:rPr>
          <w:t>Положение</w:t>
        </w:r>
      </w:hyperlink>
      <w:r>
        <w:t xml:space="preserve"> о размещении объектов капитального строительства и характеристиках планируемого развития территории квартала, ограниченного улицами: Димитрова, Красногвардейца Зубрилова, Набережная в городском округе город Воронеж (приложение N 1).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 xml:space="preserve">2. </w:t>
      </w:r>
      <w:hyperlink w:anchor="P606">
        <w:r>
          <w:rPr>
            <w:color w:val="0000FF"/>
          </w:rPr>
          <w:t>Чертеж</w:t>
        </w:r>
      </w:hyperlink>
      <w:r>
        <w:t xml:space="preserve"> планировки территории квартала, ограниченного улицами: Димитрова, Красногвардейца Зубрилова, Набережная в городском округе город Воронеж (приложение N 2).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right"/>
      </w:pPr>
      <w:r>
        <w:t>Руководитель управления</w:t>
      </w:r>
    </w:p>
    <w:p w:rsidR="00FA3E6C" w:rsidRDefault="00FA3E6C">
      <w:pPr>
        <w:pStyle w:val="ConsPlusNormal"/>
        <w:jc w:val="right"/>
      </w:pPr>
      <w:r>
        <w:t>главного архитектора городского округа</w:t>
      </w:r>
    </w:p>
    <w:p w:rsidR="00FA3E6C" w:rsidRDefault="00FA3E6C">
      <w:pPr>
        <w:pStyle w:val="ConsPlusNormal"/>
        <w:jc w:val="right"/>
      </w:pPr>
      <w:r>
        <w:t>А.В.ШЕВЕЛЕВ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right"/>
        <w:outlineLvl w:val="1"/>
      </w:pPr>
      <w:r>
        <w:t>Приложение N 1</w:t>
      </w:r>
    </w:p>
    <w:p w:rsidR="00FA3E6C" w:rsidRDefault="00FA3E6C">
      <w:pPr>
        <w:pStyle w:val="ConsPlusNormal"/>
        <w:jc w:val="right"/>
      </w:pPr>
      <w:r>
        <w:t>к проекту</w:t>
      </w:r>
    </w:p>
    <w:p w:rsidR="00FA3E6C" w:rsidRDefault="00FA3E6C">
      <w:pPr>
        <w:pStyle w:val="ConsPlusNormal"/>
        <w:jc w:val="right"/>
      </w:pPr>
      <w:r>
        <w:t>планировки территории квартала,</w:t>
      </w:r>
    </w:p>
    <w:p w:rsidR="00FA3E6C" w:rsidRDefault="00FA3E6C">
      <w:pPr>
        <w:pStyle w:val="ConsPlusNormal"/>
        <w:jc w:val="right"/>
      </w:pPr>
      <w:r>
        <w:t>ограниченного улицами: Димитрова,</w:t>
      </w:r>
    </w:p>
    <w:p w:rsidR="00FA3E6C" w:rsidRDefault="00FA3E6C">
      <w:pPr>
        <w:pStyle w:val="ConsPlusNormal"/>
        <w:jc w:val="right"/>
      </w:pPr>
      <w:r>
        <w:t>Красногвардейца Зубрилова,</w:t>
      </w:r>
    </w:p>
    <w:p w:rsidR="00FA3E6C" w:rsidRDefault="00FA3E6C">
      <w:pPr>
        <w:pStyle w:val="ConsPlusNormal"/>
        <w:jc w:val="right"/>
      </w:pPr>
      <w:r>
        <w:t>Набережная в городском</w:t>
      </w:r>
    </w:p>
    <w:p w:rsidR="00FA3E6C" w:rsidRDefault="00FA3E6C">
      <w:pPr>
        <w:pStyle w:val="ConsPlusNormal"/>
        <w:jc w:val="right"/>
      </w:pPr>
      <w:r>
        <w:t>округе город Воронеж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center"/>
      </w:pPr>
      <w:bookmarkStart w:id="1" w:name="P51"/>
      <w:bookmarkEnd w:id="1"/>
      <w:r>
        <w:t>ПОЛОЖЕНИЕ</w:t>
      </w:r>
    </w:p>
    <w:p w:rsidR="00FA3E6C" w:rsidRDefault="00FA3E6C">
      <w:pPr>
        <w:pStyle w:val="ConsPlusNormal"/>
        <w:jc w:val="center"/>
      </w:pPr>
      <w:r>
        <w:t>О РАЗМЕЩЕНИИ ОБЪЕКТОВ КАПИТАЛЬНОГО СТРОИТЕЛЬСТВА И</w:t>
      </w:r>
    </w:p>
    <w:p w:rsidR="00FA3E6C" w:rsidRDefault="00FA3E6C">
      <w:pPr>
        <w:pStyle w:val="ConsPlusNormal"/>
        <w:jc w:val="center"/>
      </w:pPr>
      <w:r>
        <w:t>ХАРАКТЕРИСТИКАХ ПЛАНИРУЕМОГО РАЗВИТИЯ ТЕРРИТОРИИ КВАРТАЛА,</w:t>
      </w:r>
    </w:p>
    <w:p w:rsidR="00FA3E6C" w:rsidRDefault="00FA3E6C">
      <w:pPr>
        <w:pStyle w:val="ConsPlusNormal"/>
        <w:jc w:val="center"/>
      </w:pPr>
      <w:r>
        <w:t>ОГРАНИЧЕННОГО УЛИЦАМИ: ДИМИТРОВА, КРАСНОГВАРДЕЙЦА ЗУБРИЛОВА,</w:t>
      </w:r>
    </w:p>
    <w:p w:rsidR="00FA3E6C" w:rsidRDefault="00FA3E6C">
      <w:pPr>
        <w:pStyle w:val="ConsPlusNormal"/>
        <w:jc w:val="center"/>
      </w:pPr>
      <w:r>
        <w:t>НАБЕРЕЖНАЯ В ГОРОДСКОМ ОКРУГЕ ГОРОД ВОРОНЕЖ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center"/>
        <w:outlineLvl w:val="2"/>
      </w:pPr>
      <w:r>
        <w:t>I. Общие положения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ind w:firstLine="540"/>
        <w:jc w:val="both"/>
      </w:pPr>
      <w:r>
        <w:t xml:space="preserve">Проект планировки территории квартала, ограниченного улицами: Димитрова, Красногвардейца Зубрилова, Набережная в городском округе город Воронеж (далее - проект планировки территории, проектируемая территория), на основании </w:t>
      </w:r>
      <w:hyperlink r:id="rId11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N 202 от 12.03.2012 "О подготовке проекта планировки территории части квартала, ограниченного улицами: Димитрова, Красногвардейца Зубрилова, Набережная в городском округе город Воронеж", заявления Капустина О.Ю., Генерального </w:t>
      </w:r>
      <w:hyperlink r:id="rId12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 (далее - Генеральный план), а также </w:t>
      </w:r>
      <w:hyperlink r:id="rId13">
        <w:r>
          <w:rPr>
            <w:color w:val="0000FF"/>
          </w:rPr>
          <w:t>Правил</w:t>
        </w:r>
      </w:hyperlink>
      <w:r>
        <w:t xml:space="preserve"> землепользования и застройки,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 требованиями Градостроительного </w:t>
      </w:r>
      <w:hyperlink r:id="rId14">
        <w:r>
          <w:rPr>
            <w:color w:val="0000FF"/>
          </w:rPr>
          <w:t>кодекса</w:t>
        </w:r>
      </w:hyperlink>
      <w:r>
        <w:t xml:space="preserve">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Воронеж, с целью внесения изменений по замечаниям, определенным по результатам публичных слушаний от 04.10.2013.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Подготовка документации по планировке территории осуществляется в целях обеспечения устойчивого развития территорий,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Проект планировки территории является основой для разработки проекта межевания территории. Документация по планировке территории является основанием для последующей подготовки проектной документации и осуществления строительства.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 xml:space="preserve">Материалы утвержденного проекта планировки являются основой для выноса на местность красных линий, линий регулирования застройки, границ земельных участков, а также должны учитываться при разработке проектов межевания территорий и последующих стадий </w:t>
      </w:r>
      <w:r>
        <w:lastRenderedPageBreak/>
        <w:t>архитектурно-строительного проектирования и строительства отдельных объектов.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 xml:space="preserve">Архитектурно-строительное проектирование осуществляется с учетом положений настоящего проекта планировки территории в соответствии с требованиями технических регламентов, регионального </w:t>
      </w:r>
      <w:hyperlink r:id="rId15">
        <w:r>
          <w:rPr>
            <w:color w:val="0000FF"/>
          </w:rPr>
          <w:t>норматива</w:t>
        </w:r>
      </w:hyperlink>
      <w:r>
        <w:t xml:space="preserve"> градостроительного проектирования, утвержденного приказом департамента архитектуры и строительной политики Воронежской области от 29 декабря 2014 года N 61-02-03/374 "Об утверждении регионального норматива градостроительного проектирования" (далее - региональный градостроительный норматив), и местного </w:t>
      </w:r>
      <w:hyperlink r:id="rId16">
        <w:r>
          <w:rPr>
            <w:color w:val="0000FF"/>
          </w:rPr>
          <w:t>норматива</w:t>
        </w:r>
      </w:hyperlink>
      <w:r>
        <w:t xml:space="preserve"> градостроительного проектирования "Планировка жилых, общественно-деловых и рекреационных зон городского округа город Воронеж", утвержденного постановлением администрации городского округа город Воронеж от 26 июля 2010 года N 650 "Об утверждении местного норматива градостроительного проектирования "Планировка жилых, общественно-деловых и рекреационных зон городского округа город Воронеж" (далее - местный градостроительный норматив).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center"/>
        <w:outlineLvl w:val="2"/>
      </w:pPr>
      <w:r>
        <w:t>II. Современное использование проектируемой территории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ind w:firstLine="540"/>
        <w:jc w:val="both"/>
      </w:pPr>
      <w:r>
        <w:t>Рассматриваемая часть квартала, ограниченного улицами: Димитрова, Красногвардейца Зубрилова, Набережная в городском округе город Воронеж, площадью 1,42 га расположена в Железнодорожном районе городского округа город Воронеж, в зоне жилой застройки. На территории расположены в основном индивидуальная жилая застройка этажностью от 1 до 2 этажей и хозпостройки. Общий характер территории определяется сохранностью исторически сложившейся планировочной структуры и наличием разнообразной по времени, стилю и масштабу застройки. Транспортная связь с городским центром осуществляется по улице Димитрова на Ленинский проспект, через Чернавский мост и далее по улице Степана Разина и по магистральной улице центра - проспекту Революции.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 xml:space="preserve">На данный момент согласно карте градостроительного зонирования планируемая территория расположена в территориальной зоне </w:t>
      </w:r>
      <w:hyperlink r:id="rId17">
        <w:r>
          <w:rPr>
            <w:color w:val="0000FF"/>
          </w:rPr>
          <w:t>Ж 3</w:t>
        </w:r>
      </w:hyperlink>
      <w:r>
        <w:t xml:space="preserve"> - зоне индивидуальной жилой застройки под развитие многоэтажного строительства. Зона выделена для условий формирования жилых районов с размещением многоквартирных домов в соответствии с предлагаемыми площадками строительства и проектами застройки жилых микрорайонов.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 xml:space="preserve">Генеральным </w:t>
      </w:r>
      <w:hyperlink r:id="rId18">
        <w:r>
          <w:rPr>
            <w:color w:val="0000FF"/>
          </w:rPr>
          <w:t>планом</w:t>
        </w:r>
      </w:hyperlink>
      <w:r>
        <w:t xml:space="preserve"> городского округа город Воронеж планируемая территория определена как зона застройки многоэтажными жилыми домами 9 этажей и выше (развитие до 2020 года), таким образом, необходимость размещения объектов местного значения устанавливается проектом планировки территории.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Согласно схемам территориального планирования Российской Федерации и Воронежской области строительство объектов федерального и регионального значения на данной территории не предполагается.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Объекты культурного наследия в границах проектируемой территории отсутствуют.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Жилищный фонд на данной территории оборудован водопроводом, канализацией, газом, отоплением, горячим водоснабжением.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На момент подготовки проекта планировки интенсивность использования территории следующая: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- малоэтажная многоквартирная застройка 1 - 2 эт. - 100%;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- общая жилая площадь - 2361 кв. м;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- население - 51 человек.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lastRenderedPageBreak/>
        <w:t>Жилищный фонд на данной территории оборудован водопроводом, канализацией, газом, отоплением, горячим водоснабжением.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 xml:space="preserve">В соответствии с местным </w:t>
      </w:r>
      <w:hyperlink r:id="rId19">
        <w:r>
          <w:rPr>
            <w:color w:val="0000FF"/>
          </w:rPr>
          <w:t>нормативом</w:t>
        </w:r>
      </w:hyperlink>
      <w:r>
        <w:t xml:space="preserve"> градостроительного проектирования, интенсивность использования территории характеризуется плотностью жилой застройки и процентом застроенности территории. На момент подготовки проекта планировки интенсивность использования территории следующая: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- процент застроенности территории - 19%;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- плотность жилой застройки - 1816 кв. м/га.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На рассматриваемой территории частично установлены границы земельных участков, на которых расположены объекты капитального строительства.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Комплексная оценка территории позволяет определить ряд направлений по ее развитию: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- формирование современной застройки с полным инженерным обеспечением;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- уменьшение доли физически и морально устаревшего жилищного фонда послевоенных лет постройки;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- повышение эффективности использования городской территории за счет повышения плотности застройки.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center"/>
        <w:outlineLvl w:val="2"/>
      </w:pPr>
      <w:r>
        <w:t>III. Основные направления развития</w:t>
      </w:r>
    </w:p>
    <w:p w:rsidR="00FA3E6C" w:rsidRDefault="00FA3E6C">
      <w:pPr>
        <w:pStyle w:val="ConsPlusNormal"/>
        <w:jc w:val="center"/>
      </w:pPr>
      <w:r>
        <w:t>архитектурно-планировочной и функционально-пространственной</w:t>
      </w:r>
    </w:p>
    <w:p w:rsidR="00FA3E6C" w:rsidRDefault="00FA3E6C">
      <w:pPr>
        <w:pStyle w:val="ConsPlusNormal"/>
        <w:jc w:val="center"/>
      </w:pPr>
      <w:r>
        <w:t>структуры территории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ind w:firstLine="540"/>
        <w:jc w:val="both"/>
      </w:pPr>
      <w:r>
        <w:t xml:space="preserve">Основные решения по развитию территории приняты с учетом установленных </w:t>
      </w:r>
      <w:hyperlink r:id="rId20">
        <w:r>
          <w:rPr>
            <w:color w:val="0000FF"/>
          </w:rPr>
          <w:t>Правилами</w:t>
        </w:r>
      </w:hyperlink>
      <w:r>
        <w:t xml:space="preserve"> землепользования и застройки ограничений использования земельных участков и объектов капитального строительства.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Развитие планируемой территории возможно за счет реконструкции (сноса) устаревшего малоэтажного жилого фонда.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Общая площадь проектируемой территории составит 1,42 га. Снос малоэтажной индивидуальной жилой застройки, находящейся в частной собственности, осуществляется путем выкупа земельных участков и объектов недвижимости, находящихся в собственности, или заключения договоров о предоставлении жилья взамен сносимого.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 xml:space="preserve">Структуру проектируемой территории в составе территориальной зоны </w:t>
      </w:r>
      <w:hyperlink r:id="rId21">
        <w:r>
          <w:rPr>
            <w:color w:val="0000FF"/>
          </w:rPr>
          <w:t>Ж 3</w:t>
        </w:r>
      </w:hyperlink>
      <w:r>
        <w:t xml:space="preserve"> составят: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- подзона размещения многоэтажной жилой застройки.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На реконструируемой территории площадью 1,42 га под многоквартирную застройку планируется строительство многоэтажной многоквартирной застройки с количеством жилых этажей 8 - 17 этажей, площадью застройки составляет 0,23 га (16,0% застроенности территории участка).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Общая поэтажная площадь жилой застройки нового строительства составит 33971 кв. м (в т.ч. жилая - 32385 кв. м), общая площадь квартир составит 22022 кв. м с учетом жилищной обеспеченности не менее 30 кв. м/чел, население нового жилого фонда составит 734 человека, количество квартир - 497.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 xml:space="preserve">Последующий расчет численности населения рекомендуется производить в соответствии с </w:t>
      </w:r>
      <w:hyperlink r:id="rId22">
        <w:r>
          <w:rPr>
            <w:color w:val="0000FF"/>
          </w:rPr>
          <w:t>пунктом 2.1.4</w:t>
        </w:r>
      </w:hyperlink>
      <w:r>
        <w:t xml:space="preserve"> местного норматива градостроительного проектирования "Планировка жилых, общественно-деловых и рекреационных зон городского округа город Воронеж" по формуле заселения k = n для массового типа жилого фонда.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Плотность нового жилого фонда на реконструируемых территориях - 23,9 тыс. кв. м/га.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Проектом планировки определена очередность освоения территории: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1-я очередь - жилой дом N 1 со встроенными объектами общественного назначения и подземным паркингом в соответствии с экспликацией, строительство будет производиться поэтапно (посекционное), начиная от улицы Набережная.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2-я очередь - жилой дом N 2 со встроенными объектами общественного назначения, встроенно-пристроенным детским учреждением и подземным паркингом в соответствии с экспликацией, допустимо также этапное (посекционное) строительство.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Для запланированного развития выделяются три территории: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- территория 1-й очереди освоения (жилой дом N 1);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- территория 2-й очереди освоения (жилой дом N 2);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- территория улично-дорожной сети (внутриквартальный проезд).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В границы территории 1-й очереди освоения входят земельные участки: 36:34:106024:2, 36:34:106024:3, 36:34:106024:7, 36:34:106024:14, 36:34:106024:16, 36:34:106026:3, земельные участки вдоль улицы Димитрова, земельный участок по переулку Колхозный N 4 и территории общего пользования.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Освоение данной территории осуществляется при условии выкупа указанных земельных участков и расположенных на них объектов недвижимости, находящихся в собственности, на основании соответствующих договоров, заключаемых застройщиком с собственниками объектов, или заключения договоров о предоставлении жилья взамен сносимого.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В границы территории 2-й очереди входят земельные участки: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36:34:106022:1, 36:34:106022:2, 36:34:106022:3, 36:34:106022:4, 36:34:106022:5, 36:34:106022:6, 36:34:106022:8, 36:34:106022:10, 36:34:106024:7, 36:34:106024:8, 36:34:106024:12, 36:34:106026:3, 36:34:106026:4, земельные участки вдоль улицы Димитрова, земельный участок по улице Перекопская N 18 и территории общего пользования.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Освоение данной территории осуществляется при условии дополнительного (с учетом освоения территории 1-й очереди) выкупа земельных участков и расположенных на них объектов недвижимости, находящихся в собственности, на основании соответствующих договоров, заключаемых застройщиком с собственниками объектов, или заключения договоров о предоставлении жилья взамен сносимого.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В границы территории улично-дорожной входят земельные участки: 36:34:106022:10, 36:34:106024:2, 36:34:106024:3, 36:34:106024:7, 36:34:106024:12, 36:34:106024:14, 36:34:106024:16, 36:34:106026:3 и территории общего пользования.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 xml:space="preserve">Земельные участки в границах общего пользования будут определены путем перераспределения в порядке, установленном Земельным </w:t>
      </w:r>
      <w:hyperlink r:id="rId23">
        <w:r>
          <w:rPr>
            <w:color w:val="0000FF"/>
          </w:rPr>
          <w:t>кодексом</w:t>
        </w:r>
      </w:hyperlink>
      <w:r>
        <w:t xml:space="preserve"> РФ.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center"/>
      </w:pPr>
      <w:r>
        <w:rPr>
          <w:noProof/>
          <w:position w:val="-433"/>
        </w:rPr>
        <w:lastRenderedPageBreak/>
        <w:drawing>
          <wp:inline distT="0" distB="0" distL="0" distR="0">
            <wp:extent cx="5499735" cy="564642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735" cy="564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ind w:firstLine="540"/>
        <w:jc w:val="both"/>
      </w:pPr>
      <w:r>
        <w:t xml:space="preserve">Расчет по обеспечению населения нового строительства объектами культурно-бытового назначения повседневного обслуживания, выполненный в соответствии с местным </w:t>
      </w:r>
      <w:hyperlink r:id="rId25">
        <w:r>
          <w:rPr>
            <w:color w:val="0000FF"/>
          </w:rPr>
          <w:t>нормативом</w:t>
        </w:r>
      </w:hyperlink>
      <w:r>
        <w:t xml:space="preserve"> градостроительного проектирования, приводится в </w:t>
      </w:r>
      <w:hyperlink w:anchor="P119">
        <w:r>
          <w:rPr>
            <w:color w:val="0000FF"/>
          </w:rPr>
          <w:t>таблице N 1</w:t>
        </w:r>
      </w:hyperlink>
      <w:r>
        <w:t>.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right"/>
        <w:outlineLvl w:val="3"/>
      </w:pPr>
      <w:bookmarkStart w:id="2" w:name="P119"/>
      <w:bookmarkEnd w:id="2"/>
      <w:r>
        <w:t>Таблица N 1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sectPr w:rsidR="00FA3E6C" w:rsidSect="00B62C9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1"/>
        <w:gridCol w:w="2778"/>
        <w:gridCol w:w="2125"/>
        <w:gridCol w:w="1304"/>
        <w:gridCol w:w="2948"/>
      </w:tblGrid>
      <w:tr w:rsidR="00FA3E6C">
        <w:tc>
          <w:tcPr>
            <w:tcW w:w="481" w:type="dxa"/>
          </w:tcPr>
          <w:p w:rsidR="00FA3E6C" w:rsidRDefault="00FA3E6C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778" w:type="dxa"/>
          </w:tcPr>
          <w:p w:rsidR="00FA3E6C" w:rsidRDefault="00FA3E6C">
            <w:pPr>
              <w:pStyle w:val="ConsPlusNormal"/>
              <w:jc w:val="center"/>
            </w:pPr>
            <w:r>
              <w:t>Предприятия и учреждения повседневного обслуживания</w:t>
            </w:r>
          </w:p>
        </w:tc>
        <w:tc>
          <w:tcPr>
            <w:tcW w:w="2125" w:type="dxa"/>
          </w:tcPr>
          <w:p w:rsidR="00FA3E6C" w:rsidRDefault="00FA3E6C">
            <w:pPr>
              <w:pStyle w:val="ConsPlusNormal"/>
              <w:jc w:val="center"/>
            </w:pPr>
            <w:r>
              <w:t>Минимальная обеспеченность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Расчетные показатели</w:t>
            </w:r>
          </w:p>
        </w:tc>
        <w:tc>
          <w:tcPr>
            <w:tcW w:w="2948" w:type="dxa"/>
          </w:tcPr>
          <w:p w:rsidR="00FA3E6C" w:rsidRDefault="00FA3E6C">
            <w:pPr>
              <w:pStyle w:val="ConsPlusNormal"/>
              <w:jc w:val="center"/>
            </w:pPr>
            <w:r>
              <w:t>Планируемые показатели</w:t>
            </w:r>
          </w:p>
        </w:tc>
      </w:tr>
      <w:tr w:rsidR="00FA3E6C">
        <w:tc>
          <w:tcPr>
            <w:tcW w:w="481" w:type="dxa"/>
          </w:tcPr>
          <w:p w:rsidR="00FA3E6C" w:rsidRDefault="00FA3E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FA3E6C" w:rsidRDefault="00FA3E6C">
            <w:pPr>
              <w:pStyle w:val="ConsPlusNormal"/>
            </w:pPr>
            <w:r>
              <w:t xml:space="preserve">Детские дошкольные учреждения </w:t>
            </w:r>
            <w:hyperlink w:anchor="P173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125" w:type="dxa"/>
          </w:tcPr>
          <w:p w:rsidR="00FA3E6C" w:rsidRDefault="00FA3E6C">
            <w:pPr>
              <w:pStyle w:val="ConsPlusNormal"/>
            </w:pPr>
            <w:r>
              <w:t xml:space="preserve">42 места на 1000 жителей </w:t>
            </w:r>
            <w:hyperlink w:anchor="P173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31 место</w:t>
            </w:r>
          </w:p>
        </w:tc>
        <w:tc>
          <w:tcPr>
            <w:tcW w:w="2948" w:type="dxa"/>
          </w:tcPr>
          <w:p w:rsidR="00FA3E6C" w:rsidRDefault="00FA3E6C">
            <w:pPr>
              <w:pStyle w:val="ConsPlusNormal"/>
            </w:pPr>
            <w:r>
              <w:t>Встроенно-пристроенное детское учреждение на 60 мест</w:t>
            </w:r>
          </w:p>
        </w:tc>
      </w:tr>
      <w:tr w:rsidR="00FA3E6C">
        <w:tc>
          <w:tcPr>
            <w:tcW w:w="481" w:type="dxa"/>
          </w:tcPr>
          <w:p w:rsidR="00FA3E6C" w:rsidRDefault="00FA3E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78" w:type="dxa"/>
          </w:tcPr>
          <w:p w:rsidR="00FA3E6C" w:rsidRDefault="00FA3E6C">
            <w:pPr>
              <w:pStyle w:val="ConsPlusNormal"/>
            </w:pPr>
            <w:r>
              <w:t xml:space="preserve">Общеобразовательные школы </w:t>
            </w:r>
            <w:hyperlink w:anchor="P173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125" w:type="dxa"/>
          </w:tcPr>
          <w:p w:rsidR="00FA3E6C" w:rsidRDefault="00FA3E6C">
            <w:pPr>
              <w:pStyle w:val="ConsPlusNormal"/>
            </w:pPr>
            <w:r>
              <w:t xml:space="preserve">91 место на 1000 жителей </w:t>
            </w:r>
            <w:hyperlink w:anchor="P173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67 мест</w:t>
            </w:r>
          </w:p>
        </w:tc>
        <w:tc>
          <w:tcPr>
            <w:tcW w:w="2948" w:type="dxa"/>
          </w:tcPr>
          <w:p w:rsidR="00FA3E6C" w:rsidRDefault="00FA3E6C">
            <w:pPr>
              <w:pStyle w:val="ConsPlusNormal"/>
            </w:pPr>
            <w:r>
              <w:t>В радиусе доступности на прилегающих территориях</w:t>
            </w:r>
          </w:p>
        </w:tc>
      </w:tr>
      <w:tr w:rsidR="00FA3E6C">
        <w:tc>
          <w:tcPr>
            <w:tcW w:w="481" w:type="dxa"/>
          </w:tcPr>
          <w:p w:rsidR="00FA3E6C" w:rsidRDefault="00FA3E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FA3E6C" w:rsidRDefault="00FA3E6C">
            <w:pPr>
              <w:pStyle w:val="ConsPlusNormal"/>
            </w:pPr>
            <w:r>
              <w:t>Продовольственные магазины</w:t>
            </w:r>
          </w:p>
        </w:tc>
        <w:tc>
          <w:tcPr>
            <w:tcW w:w="2125" w:type="dxa"/>
          </w:tcPr>
          <w:p w:rsidR="00FA3E6C" w:rsidRDefault="00FA3E6C">
            <w:pPr>
              <w:pStyle w:val="ConsPlusNormal"/>
            </w:pPr>
            <w:r>
              <w:t>70 кв. м торговой площади на 1000 жит.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68 кв. м торговой площади</w:t>
            </w:r>
          </w:p>
        </w:tc>
        <w:tc>
          <w:tcPr>
            <w:tcW w:w="2948" w:type="dxa"/>
          </w:tcPr>
          <w:p w:rsidR="00FA3E6C" w:rsidRDefault="00FA3E6C">
            <w:pPr>
              <w:pStyle w:val="ConsPlusNormal"/>
            </w:pPr>
            <w:r>
              <w:t>Встроенные объекты на первых этажах домов</w:t>
            </w:r>
          </w:p>
        </w:tc>
      </w:tr>
      <w:tr w:rsidR="00FA3E6C">
        <w:tc>
          <w:tcPr>
            <w:tcW w:w="481" w:type="dxa"/>
          </w:tcPr>
          <w:p w:rsidR="00FA3E6C" w:rsidRDefault="00FA3E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FA3E6C" w:rsidRDefault="00FA3E6C">
            <w:pPr>
              <w:pStyle w:val="ConsPlusNormal"/>
            </w:pPr>
            <w:r>
              <w:t>Промтоварные магазины товаров первой необходимости</w:t>
            </w:r>
          </w:p>
        </w:tc>
        <w:tc>
          <w:tcPr>
            <w:tcW w:w="2125" w:type="dxa"/>
          </w:tcPr>
          <w:p w:rsidR="00FA3E6C" w:rsidRDefault="00FA3E6C">
            <w:pPr>
              <w:pStyle w:val="ConsPlusNormal"/>
            </w:pPr>
            <w:r>
              <w:t>30 кв. м торговой площади на 1000 жит.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29 кв. м торговой площади</w:t>
            </w:r>
          </w:p>
        </w:tc>
        <w:tc>
          <w:tcPr>
            <w:tcW w:w="2948" w:type="dxa"/>
          </w:tcPr>
          <w:p w:rsidR="00FA3E6C" w:rsidRDefault="00FA3E6C">
            <w:pPr>
              <w:pStyle w:val="ConsPlusNormal"/>
            </w:pPr>
            <w:r>
              <w:t>Встроенные объекты на первых этажах домов</w:t>
            </w:r>
          </w:p>
        </w:tc>
      </w:tr>
      <w:tr w:rsidR="00FA3E6C">
        <w:tc>
          <w:tcPr>
            <w:tcW w:w="481" w:type="dxa"/>
          </w:tcPr>
          <w:p w:rsidR="00FA3E6C" w:rsidRDefault="00FA3E6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78" w:type="dxa"/>
          </w:tcPr>
          <w:p w:rsidR="00FA3E6C" w:rsidRDefault="00FA3E6C">
            <w:pPr>
              <w:pStyle w:val="ConsPlusNormal"/>
            </w:pPr>
            <w:r>
              <w:t>Аптечный пункт</w:t>
            </w:r>
          </w:p>
        </w:tc>
        <w:tc>
          <w:tcPr>
            <w:tcW w:w="2125" w:type="dxa"/>
          </w:tcPr>
          <w:p w:rsidR="00FA3E6C" w:rsidRDefault="00FA3E6C">
            <w:pPr>
              <w:pStyle w:val="ConsPlusNormal"/>
            </w:pPr>
            <w:r>
              <w:t>1 объект на жилую группу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1 объект</w:t>
            </w:r>
          </w:p>
        </w:tc>
        <w:tc>
          <w:tcPr>
            <w:tcW w:w="2948" w:type="dxa"/>
          </w:tcPr>
          <w:p w:rsidR="00FA3E6C" w:rsidRDefault="00FA3E6C">
            <w:pPr>
              <w:pStyle w:val="ConsPlusNormal"/>
            </w:pPr>
            <w:r>
              <w:t>Встроенные объекты на первых этажах домов</w:t>
            </w:r>
          </w:p>
        </w:tc>
      </w:tr>
      <w:tr w:rsidR="00FA3E6C">
        <w:tc>
          <w:tcPr>
            <w:tcW w:w="481" w:type="dxa"/>
          </w:tcPr>
          <w:p w:rsidR="00FA3E6C" w:rsidRDefault="00FA3E6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778" w:type="dxa"/>
          </w:tcPr>
          <w:p w:rsidR="00FA3E6C" w:rsidRDefault="00FA3E6C">
            <w:pPr>
              <w:pStyle w:val="ConsPlusNormal"/>
            </w:pPr>
            <w:r>
              <w:t>Приемный пункт прачечной, химчистки</w:t>
            </w:r>
          </w:p>
        </w:tc>
        <w:tc>
          <w:tcPr>
            <w:tcW w:w="2125" w:type="dxa"/>
          </w:tcPr>
          <w:p w:rsidR="00FA3E6C" w:rsidRDefault="00FA3E6C">
            <w:pPr>
              <w:pStyle w:val="ConsPlusNormal"/>
            </w:pPr>
            <w:r>
              <w:t>1 объект на жилую группу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1 объект</w:t>
            </w:r>
          </w:p>
        </w:tc>
        <w:tc>
          <w:tcPr>
            <w:tcW w:w="2948" w:type="dxa"/>
          </w:tcPr>
          <w:p w:rsidR="00FA3E6C" w:rsidRDefault="00FA3E6C">
            <w:pPr>
              <w:pStyle w:val="ConsPlusNormal"/>
            </w:pPr>
            <w:r>
              <w:t>В радиусе доступности на прилегающих территориях</w:t>
            </w:r>
          </w:p>
        </w:tc>
      </w:tr>
      <w:tr w:rsidR="00FA3E6C">
        <w:tc>
          <w:tcPr>
            <w:tcW w:w="481" w:type="dxa"/>
          </w:tcPr>
          <w:p w:rsidR="00FA3E6C" w:rsidRDefault="00FA3E6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778" w:type="dxa"/>
          </w:tcPr>
          <w:p w:rsidR="00FA3E6C" w:rsidRDefault="00FA3E6C">
            <w:pPr>
              <w:pStyle w:val="ConsPlusNormal"/>
            </w:pPr>
            <w:r>
              <w:t>Мастерская бытового обслуживания</w:t>
            </w:r>
          </w:p>
        </w:tc>
        <w:tc>
          <w:tcPr>
            <w:tcW w:w="2125" w:type="dxa"/>
          </w:tcPr>
          <w:p w:rsidR="00FA3E6C" w:rsidRDefault="00FA3E6C">
            <w:pPr>
              <w:pStyle w:val="ConsPlusNormal"/>
            </w:pPr>
            <w:r>
              <w:t>2 рабочих места на 1000 жит.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1 рабочее место</w:t>
            </w:r>
          </w:p>
        </w:tc>
        <w:tc>
          <w:tcPr>
            <w:tcW w:w="2948" w:type="dxa"/>
          </w:tcPr>
          <w:p w:rsidR="00FA3E6C" w:rsidRDefault="00FA3E6C">
            <w:pPr>
              <w:pStyle w:val="ConsPlusNormal"/>
            </w:pPr>
            <w:r>
              <w:t>В радиусе доступности на прилегающих территориях</w:t>
            </w:r>
          </w:p>
        </w:tc>
      </w:tr>
      <w:tr w:rsidR="00FA3E6C">
        <w:tc>
          <w:tcPr>
            <w:tcW w:w="481" w:type="dxa"/>
          </w:tcPr>
          <w:p w:rsidR="00FA3E6C" w:rsidRDefault="00FA3E6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778" w:type="dxa"/>
          </w:tcPr>
          <w:p w:rsidR="00FA3E6C" w:rsidRDefault="00FA3E6C">
            <w:pPr>
              <w:pStyle w:val="ConsPlusNormal"/>
            </w:pPr>
            <w:r>
              <w:t>Пункт охраны порядка</w:t>
            </w:r>
          </w:p>
        </w:tc>
        <w:tc>
          <w:tcPr>
            <w:tcW w:w="2125" w:type="dxa"/>
          </w:tcPr>
          <w:p w:rsidR="00FA3E6C" w:rsidRDefault="00FA3E6C">
            <w:pPr>
              <w:pStyle w:val="ConsPlusNormal"/>
            </w:pPr>
            <w:r>
              <w:t>10 кв. м общей площади на жилую группу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10 кв. м</w:t>
            </w:r>
          </w:p>
        </w:tc>
        <w:tc>
          <w:tcPr>
            <w:tcW w:w="2948" w:type="dxa"/>
          </w:tcPr>
          <w:p w:rsidR="00FA3E6C" w:rsidRDefault="00FA3E6C">
            <w:pPr>
              <w:pStyle w:val="ConsPlusNormal"/>
            </w:pPr>
            <w:r>
              <w:t>В радиусе доступности на прилегающих территориях</w:t>
            </w:r>
          </w:p>
        </w:tc>
      </w:tr>
      <w:tr w:rsidR="00FA3E6C">
        <w:tc>
          <w:tcPr>
            <w:tcW w:w="481" w:type="dxa"/>
          </w:tcPr>
          <w:p w:rsidR="00FA3E6C" w:rsidRDefault="00FA3E6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78" w:type="dxa"/>
          </w:tcPr>
          <w:p w:rsidR="00FA3E6C" w:rsidRDefault="00FA3E6C">
            <w:pPr>
              <w:pStyle w:val="ConsPlusNormal"/>
            </w:pPr>
            <w:r>
              <w:t>Спортивно-тренажерный зал</w:t>
            </w:r>
          </w:p>
        </w:tc>
        <w:tc>
          <w:tcPr>
            <w:tcW w:w="2125" w:type="dxa"/>
          </w:tcPr>
          <w:p w:rsidR="00FA3E6C" w:rsidRDefault="00FA3E6C">
            <w:pPr>
              <w:pStyle w:val="ConsPlusNormal"/>
            </w:pPr>
            <w:r>
              <w:t>30 кв. м общей площади на 1000 жит.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22 кв. м</w:t>
            </w:r>
          </w:p>
        </w:tc>
        <w:tc>
          <w:tcPr>
            <w:tcW w:w="2948" w:type="dxa"/>
          </w:tcPr>
          <w:p w:rsidR="00FA3E6C" w:rsidRDefault="00FA3E6C">
            <w:pPr>
              <w:pStyle w:val="ConsPlusNormal"/>
            </w:pPr>
            <w:r>
              <w:t>В радиусе доступности на прилегающих территориях</w:t>
            </w:r>
          </w:p>
        </w:tc>
      </w:tr>
    </w:tbl>
    <w:p w:rsidR="00FA3E6C" w:rsidRDefault="00FA3E6C">
      <w:pPr>
        <w:pStyle w:val="ConsPlusNormal"/>
        <w:sectPr w:rsidR="00FA3E6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ind w:firstLine="540"/>
        <w:jc w:val="both"/>
      </w:pPr>
      <w:r>
        <w:t>--------------------------------</w:t>
      </w:r>
    </w:p>
    <w:p w:rsidR="00FA3E6C" w:rsidRDefault="00FA3E6C">
      <w:pPr>
        <w:pStyle w:val="ConsPlusNormal"/>
        <w:spacing w:before="220"/>
        <w:ind w:firstLine="540"/>
        <w:jc w:val="both"/>
      </w:pPr>
      <w:bookmarkStart w:id="3" w:name="P173"/>
      <w:bookmarkEnd w:id="3"/>
      <w:r>
        <w:t xml:space="preserve">&lt;*&gt; Расчет емкости детских дошкольных учреждений и общеобразовательных школ для нового жилищного строительства принят на основе данных о численности населения по возрастным группам на 1000 человек населения в соответствии с положениями Генерального </w:t>
      </w:r>
      <w:hyperlink r:id="rId26">
        <w:r>
          <w:rPr>
            <w:color w:val="0000FF"/>
          </w:rPr>
          <w:t>плана</w:t>
        </w:r>
      </w:hyperlink>
      <w:r>
        <w:t xml:space="preserve"> городского округа город Воронеж.</w:t>
      </w:r>
    </w:p>
    <w:p w:rsidR="00FA3E6C" w:rsidRDefault="00FA3E6C">
      <w:pPr>
        <w:pStyle w:val="ConsPlusNormal"/>
        <w:ind w:firstLine="540"/>
        <w:jc w:val="both"/>
      </w:pPr>
    </w:p>
    <w:p w:rsidR="00FA3E6C" w:rsidRDefault="00FA3E6C">
      <w:pPr>
        <w:pStyle w:val="ConsPlusNormal"/>
        <w:ind w:firstLine="540"/>
        <w:jc w:val="both"/>
      </w:pPr>
      <w:r>
        <w:t>Проектом планировки определена площадь территории озеленения, равная 0,6 га, что составляет 42,0% от проектируемой территории. В площадь озеленения вошли территории озеленения дворовых территорий.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Показатели по застройке приняты из укрупненных расчетов. Данные значения будут скорректированы при разработке индивидуальных проектов зданий и сооружений. Каждый индивидуальный проект должен пройти согласование в установленном порядке.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center"/>
        <w:outlineLvl w:val="2"/>
      </w:pPr>
      <w:r>
        <w:t>IV. Основные направления инженерной подготовки территории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ind w:firstLine="540"/>
        <w:jc w:val="both"/>
      </w:pPr>
      <w:r>
        <w:t>Рельеф на территории квартала спокойный, с небольшим уклоном в сторону водохранилища. Организация рельефа территории осуществляется с учетом существующих инженерных сетей, естественного отвода поверхностных вод и минимального объема земляных работ.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 xml:space="preserve">При составлении схемы вертикальной планировки определяются отметки существующего рельефа и проектные отметки в точках пересечения осей улиц и в местах резкого изменения рельефа, закладываются проектные продольные уклоны. Величина уклонов не превышает 5%, в пределах допустимых по </w:t>
      </w:r>
      <w:hyperlink r:id="rId27">
        <w:r>
          <w:rPr>
            <w:color w:val="0000FF"/>
          </w:rPr>
          <w:t>СП 42.13330.2011</w:t>
        </w:r>
      </w:hyperlink>
      <w:r>
        <w:t xml:space="preserve"> "Градостроительство. Планировка и застройка городских и сельских поселений. Актуализированная редакция СНиП 2.07.01-89*.".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Планируемая территория в основном имеет благоприятные условия для строительства, но для защиты подземных сооружений проектом предусматривается проведение мероприятий по понижению уровня грунтовых вод в зоне капитальной застройки. Плановое положение, конструкция дренажа, гидрологические и гидравлические расчеты будут отражены подробно на последующих стадиях проектирования. Также на дальнейших стадиях проектирования необходимо проводить дополнительные инженерно-геологические изыскания и детальную проработку вертикальной планировки территорий с учетом обеспечения поверхностного стока в ливневую канализацию. Проектом предлагается реконструкция ливневой канализации с выносом существующей ливневой канализации с территории квартала (по пер. Колхозный).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center"/>
        <w:outlineLvl w:val="2"/>
      </w:pPr>
      <w:r>
        <w:t>V. Основные направления развития инженерно-технического</w:t>
      </w:r>
    </w:p>
    <w:p w:rsidR="00FA3E6C" w:rsidRDefault="00FA3E6C">
      <w:pPr>
        <w:pStyle w:val="ConsPlusNormal"/>
        <w:jc w:val="center"/>
      </w:pPr>
      <w:r>
        <w:t>обеспечения территории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ind w:firstLine="540"/>
        <w:jc w:val="both"/>
      </w:pPr>
      <w:r>
        <w:t xml:space="preserve">Решения по развитию инженерной инфраструктуры в границах проекта планировки территории приняты с учетом общей схемы развития объектов инженерной инфраструктуры, утвержденной в составе Генерального </w:t>
      </w:r>
      <w:hyperlink r:id="rId28">
        <w:r>
          <w:rPr>
            <w:color w:val="0000FF"/>
          </w:rPr>
          <w:t>плана</w:t>
        </w:r>
      </w:hyperlink>
      <w:r>
        <w:t>. Границами технических зон инженерных коммуникаций являются красные линии улично-дорожной сети.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Расчетная нагрузка водопотребления - 525 л/сутки.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Расчетная нагрузка водоотведения - 525 л/сутки.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Расчетная нагрузка электроснабжения - 862 кВт.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Расчетная тепловая нагрузка - 3,594 Гкал/ч.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center"/>
        <w:outlineLvl w:val="2"/>
      </w:pPr>
      <w:r>
        <w:lastRenderedPageBreak/>
        <w:t>VI. Основные направления транспортного</w:t>
      </w:r>
    </w:p>
    <w:p w:rsidR="00FA3E6C" w:rsidRDefault="00FA3E6C">
      <w:pPr>
        <w:pStyle w:val="ConsPlusNormal"/>
        <w:jc w:val="center"/>
      </w:pPr>
      <w:r>
        <w:t>обслуживания территории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ind w:firstLine="540"/>
        <w:jc w:val="both"/>
      </w:pPr>
      <w:r>
        <w:t xml:space="preserve">Проект планировки сохраняет в своей основе структуру улиц, заложенную на предыдущих этапах проектирования, учитывает природно-климатические и ландшафтные условия. Основой транспортной схемы планируемой территории является транспортная схема, утвержденная в составе Генерального </w:t>
      </w:r>
      <w:hyperlink r:id="rId29">
        <w:r>
          <w:rPr>
            <w:color w:val="0000FF"/>
          </w:rPr>
          <w:t>плана</w:t>
        </w:r>
      </w:hyperlink>
      <w:r>
        <w:t>. Проектом планировки предусматривается ремонт существующих транспортных связей, используются наименования улиц, установленные на момент его подготовки. Ширина улиц в красных линиях определена с учетом установленных красных линий, санитарно-гигиенических требований в зависимости от категорий улиц и дорог, интенсивности движения транспорта и пешеходов, наличия технических полос для прокладки инженерных коммуникаций.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 xml:space="preserve">Ведомость координат красных линий приведена в </w:t>
      </w:r>
      <w:hyperlink w:anchor="P199">
        <w:r>
          <w:rPr>
            <w:color w:val="0000FF"/>
          </w:rPr>
          <w:t>таблице N 2</w:t>
        </w:r>
      </w:hyperlink>
      <w:r>
        <w:t>.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right"/>
        <w:outlineLvl w:val="3"/>
      </w:pPr>
      <w:bookmarkStart w:id="4" w:name="P199"/>
      <w:bookmarkEnd w:id="4"/>
      <w:r>
        <w:t>Таблица N 2</w:t>
      </w:r>
    </w:p>
    <w:p w:rsidR="00FA3E6C" w:rsidRDefault="00FA3E6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3118"/>
        <w:gridCol w:w="3118"/>
      </w:tblGrid>
      <w:tr w:rsidR="00FA3E6C">
        <w:tc>
          <w:tcPr>
            <w:tcW w:w="1134" w:type="dxa"/>
          </w:tcPr>
          <w:p w:rsidR="00FA3E6C" w:rsidRDefault="00FA3E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FA3E6C" w:rsidRDefault="00FA3E6C">
            <w:pPr>
              <w:pStyle w:val="ConsPlusNormal"/>
              <w:jc w:val="center"/>
            </w:pPr>
            <w:r>
              <w:t>2097,14</w:t>
            </w:r>
          </w:p>
        </w:tc>
        <w:tc>
          <w:tcPr>
            <w:tcW w:w="3118" w:type="dxa"/>
          </w:tcPr>
          <w:p w:rsidR="00FA3E6C" w:rsidRDefault="00FA3E6C">
            <w:pPr>
              <w:pStyle w:val="ConsPlusNormal"/>
              <w:jc w:val="center"/>
            </w:pPr>
            <w:r>
              <w:t>2592,02</w:t>
            </w:r>
          </w:p>
        </w:tc>
      </w:tr>
      <w:tr w:rsidR="00FA3E6C">
        <w:tc>
          <w:tcPr>
            <w:tcW w:w="1134" w:type="dxa"/>
          </w:tcPr>
          <w:p w:rsidR="00FA3E6C" w:rsidRDefault="00FA3E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8" w:type="dxa"/>
          </w:tcPr>
          <w:p w:rsidR="00FA3E6C" w:rsidRDefault="00FA3E6C">
            <w:pPr>
              <w:pStyle w:val="ConsPlusNormal"/>
              <w:jc w:val="center"/>
            </w:pPr>
            <w:r>
              <w:t>2098,34</w:t>
            </w:r>
          </w:p>
        </w:tc>
        <w:tc>
          <w:tcPr>
            <w:tcW w:w="3118" w:type="dxa"/>
          </w:tcPr>
          <w:p w:rsidR="00FA3E6C" w:rsidRDefault="00FA3E6C">
            <w:pPr>
              <w:pStyle w:val="ConsPlusNormal"/>
              <w:jc w:val="center"/>
            </w:pPr>
            <w:r>
              <w:t>2694,02</w:t>
            </w:r>
          </w:p>
        </w:tc>
      </w:tr>
      <w:tr w:rsidR="00FA3E6C">
        <w:tc>
          <w:tcPr>
            <w:tcW w:w="1134" w:type="dxa"/>
          </w:tcPr>
          <w:p w:rsidR="00FA3E6C" w:rsidRDefault="00FA3E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18" w:type="dxa"/>
          </w:tcPr>
          <w:p w:rsidR="00FA3E6C" w:rsidRDefault="00FA3E6C">
            <w:pPr>
              <w:pStyle w:val="ConsPlusNormal"/>
              <w:jc w:val="center"/>
            </w:pPr>
            <w:r>
              <w:t>2014,24</w:t>
            </w:r>
          </w:p>
        </w:tc>
        <w:tc>
          <w:tcPr>
            <w:tcW w:w="3118" w:type="dxa"/>
          </w:tcPr>
          <w:p w:rsidR="00FA3E6C" w:rsidRDefault="00FA3E6C">
            <w:pPr>
              <w:pStyle w:val="ConsPlusNormal"/>
              <w:jc w:val="center"/>
            </w:pPr>
            <w:r>
              <w:t>2695,26</w:t>
            </w:r>
          </w:p>
        </w:tc>
      </w:tr>
      <w:tr w:rsidR="00FA3E6C">
        <w:tc>
          <w:tcPr>
            <w:tcW w:w="1134" w:type="dxa"/>
          </w:tcPr>
          <w:p w:rsidR="00FA3E6C" w:rsidRDefault="00FA3E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18" w:type="dxa"/>
          </w:tcPr>
          <w:p w:rsidR="00FA3E6C" w:rsidRDefault="00FA3E6C">
            <w:pPr>
              <w:pStyle w:val="ConsPlusNormal"/>
              <w:jc w:val="center"/>
            </w:pPr>
            <w:r>
              <w:t>2010,83</w:t>
            </w:r>
          </w:p>
        </w:tc>
        <w:tc>
          <w:tcPr>
            <w:tcW w:w="3118" w:type="dxa"/>
          </w:tcPr>
          <w:p w:rsidR="00FA3E6C" w:rsidRDefault="00FA3E6C">
            <w:pPr>
              <w:pStyle w:val="ConsPlusNormal"/>
              <w:jc w:val="center"/>
            </w:pPr>
            <w:r>
              <w:t>2672,85</w:t>
            </w:r>
          </w:p>
        </w:tc>
      </w:tr>
      <w:tr w:rsidR="00FA3E6C">
        <w:tc>
          <w:tcPr>
            <w:tcW w:w="1134" w:type="dxa"/>
          </w:tcPr>
          <w:p w:rsidR="00FA3E6C" w:rsidRDefault="00FA3E6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8" w:type="dxa"/>
          </w:tcPr>
          <w:p w:rsidR="00FA3E6C" w:rsidRDefault="00FA3E6C">
            <w:pPr>
              <w:pStyle w:val="ConsPlusNormal"/>
              <w:jc w:val="center"/>
            </w:pPr>
            <w:r>
              <w:t>1983,50</w:t>
            </w:r>
          </w:p>
        </w:tc>
        <w:tc>
          <w:tcPr>
            <w:tcW w:w="3118" w:type="dxa"/>
          </w:tcPr>
          <w:p w:rsidR="00FA3E6C" w:rsidRDefault="00FA3E6C">
            <w:pPr>
              <w:pStyle w:val="ConsPlusNormal"/>
              <w:jc w:val="center"/>
            </w:pPr>
            <w:r>
              <w:t>2616,63</w:t>
            </w:r>
          </w:p>
        </w:tc>
      </w:tr>
      <w:tr w:rsidR="00FA3E6C">
        <w:tc>
          <w:tcPr>
            <w:tcW w:w="1134" w:type="dxa"/>
          </w:tcPr>
          <w:p w:rsidR="00FA3E6C" w:rsidRDefault="00FA3E6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18" w:type="dxa"/>
          </w:tcPr>
          <w:p w:rsidR="00FA3E6C" w:rsidRDefault="00FA3E6C">
            <w:pPr>
              <w:pStyle w:val="ConsPlusNormal"/>
              <w:jc w:val="center"/>
            </w:pPr>
            <w:r>
              <w:t>2023,84</w:t>
            </w:r>
          </w:p>
        </w:tc>
        <w:tc>
          <w:tcPr>
            <w:tcW w:w="3118" w:type="dxa"/>
          </w:tcPr>
          <w:p w:rsidR="00FA3E6C" w:rsidRDefault="00FA3E6C">
            <w:pPr>
              <w:pStyle w:val="ConsPlusNormal"/>
              <w:jc w:val="center"/>
            </w:pPr>
            <w:r>
              <w:t>2589,13</w:t>
            </w:r>
          </w:p>
        </w:tc>
      </w:tr>
    </w:tbl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ind w:firstLine="540"/>
        <w:jc w:val="both"/>
      </w:pPr>
      <w:r>
        <w:t>Основные пешеходные связи обеспечивают удобную пешеходную доступность объектов обслуживания, остановок общественного транспорта и зон отдыха. Ширина тротуаров принята с учетом категории и назначения улиц в зависимости от размеров пешеходного движения.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 xml:space="preserve">Расчет минимального количества машино-мест произведен в соответствии с нормами местного </w:t>
      </w:r>
      <w:hyperlink r:id="rId30">
        <w:r>
          <w:rPr>
            <w:color w:val="0000FF"/>
          </w:rPr>
          <w:t>норматива</w:t>
        </w:r>
      </w:hyperlink>
      <w:r>
        <w:t xml:space="preserve"> градостроительного проектирования, согласно </w:t>
      </w:r>
      <w:hyperlink r:id="rId31">
        <w:r>
          <w:rPr>
            <w:color w:val="0000FF"/>
          </w:rPr>
          <w:t>п. 2.7.5</w:t>
        </w:r>
      </w:hyperlink>
      <w:r>
        <w:t>, в условиях реконструкции жилых микрорайонов, кварталов допускается принимать общее расчетное число машино-мест - одно на две квартиры.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Таким образом, для планируемой жилой застройки необходимо размещение 249 машино-мест для хранения автотранспорта (постоянного и временного). Проектом предлагается размещение двух одноуровневых подземных гаражей общей емкостью 440 машино-мест и 120 машино-мест на открытых площадках для гостевой парковки автомобилей.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center"/>
        <w:outlineLvl w:val="2"/>
      </w:pPr>
      <w:r>
        <w:t>VII. Характеристики планируемого развития территории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ind w:firstLine="540"/>
        <w:jc w:val="both"/>
      </w:pPr>
      <w:r>
        <w:t>Площадь проектируемой территории составляет 1,42 га. Интенсивность использования проектируемой территории: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- процент застроенности территории составит 16,0%;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- плотность жилой застройки - 23,9 тыс. кв. м/га;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- население - 734 чел.;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- плотность населения - 517 чел./га;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lastRenderedPageBreak/>
        <w:t>- общая площадь жилой застройки нового строительства (фонд) - 33971 кв. м (в т.ч. жилого фонда - 32385 кв. м);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- общая площадь квартир проектируемой жилой застройки составит 22022 кв. м;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- количество жилых этажей - 8 - 17;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>- средняя жилая этажность - 14,5.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 xml:space="preserve">Баланс территории микрорайона приведен в </w:t>
      </w:r>
      <w:hyperlink w:anchor="P237">
        <w:r>
          <w:rPr>
            <w:color w:val="0000FF"/>
          </w:rPr>
          <w:t>таблице N 3</w:t>
        </w:r>
      </w:hyperlink>
      <w:r>
        <w:t>.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right"/>
        <w:outlineLvl w:val="3"/>
      </w:pPr>
      <w:bookmarkStart w:id="5" w:name="P237"/>
      <w:bookmarkEnd w:id="5"/>
      <w:r>
        <w:t>Таблица N 3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sectPr w:rsidR="00FA3E6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13"/>
        <w:gridCol w:w="624"/>
        <w:gridCol w:w="964"/>
        <w:gridCol w:w="737"/>
        <w:gridCol w:w="964"/>
        <w:gridCol w:w="715"/>
      </w:tblGrid>
      <w:tr w:rsidR="00FA3E6C">
        <w:tc>
          <w:tcPr>
            <w:tcW w:w="5613" w:type="dxa"/>
            <w:vMerge w:val="restart"/>
          </w:tcPr>
          <w:p w:rsidR="00FA3E6C" w:rsidRDefault="00FA3E6C">
            <w:pPr>
              <w:pStyle w:val="ConsPlusNormal"/>
              <w:jc w:val="center"/>
            </w:pPr>
            <w:r>
              <w:lastRenderedPageBreak/>
              <w:t>Территория</w:t>
            </w:r>
          </w:p>
        </w:tc>
        <w:tc>
          <w:tcPr>
            <w:tcW w:w="624" w:type="dxa"/>
            <w:vMerge w:val="restart"/>
          </w:tcPr>
          <w:p w:rsidR="00FA3E6C" w:rsidRDefault="00FA3E6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01" w:type="dxa"/>
            <w:gridSpan w:val="2"/>
          </w:tcPr>
          <w:p w:rsidR="00FA3E6C" w:rsidRDefault="00FA3E6C">
            <w:pPr>
              <w:pStyle w:val="ConsPlusNormal"/>
              <w:jc w:val="center"/>
            </w:pPr>
            <w:r>
              <w:t>Существующее положение</w:t>
            </w:r>
          </w:p>
        </w:tc>
        <w:tc>
          <w:tcPr>
            <w:tcW w:w="1679" w:type="dxa"/>
            <w:gridSpan w:val="2"/>
          </w:tcPr>
          <w:p w:rsidR="00FA3E6C" w:rsidRDefault="00FA3E6C">
            <w:pPr>
              <w:pStyle w:val="ConsPlusNormal"/>
              <w:jc w:val="center"/>
            </w:pPr>
            <w:r>
              <w:t>Проектное предложение</w:t>
            </w:r>
          </w:p>
        </w:tc>
      </w:tr>
      <w:tr w:rsidR="00FA3E6C">
        <w:tc>
          <w:tcPr>
            <w:tcW w:w="5613" w:type="dxa"/>
            <w:vMerge/>
          </w:tcPr>
          <w:p w:rsidR="00FA3E6C" w:rsidRDefault="00FA3E6C">
            <w:pPr>
              <w:pStyle w:val="ConsPlusNormal"/>
            </w:pPr>
          </w:p>
        </w:tc>
        <w:tc>
          <w:tcPr>
            <w:tcW w:w="624" w:type="dxa"/>
            <w:vMerge/>
          </w:tcPr>
          <w:p w:rsidR="00FA3E6C" w:rsidRDefault="00FA3E6C">
            <w:pPr>
              <w:pStyle w:val="ConsPlusNormal"/>
            </w:pPr>
          </w:p>
        </w:tc>
        <w:tc>
          <w:tcPr>
            <w:tcW w:w="964" w:type="dxa"/>
          </w:tcPr>
          <w:p w:rsidR="00FA3E6C" w:rsidRDefault="00FA3E6C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737" w:type="dxa"/>
          </w:tcPr>
          <w:p w:rsidR="00FA3E6C" w:rsidRDefault="00FA3E6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FA3E6C" w:rsidRDefault="00FA3E6C">
            <w:pPr>
              <w:pStyle w:val="ConsPlusNormal"/>
              <w:jc w:val="center"/>
            </w:pPr>
            <w:r>
              <w:t>Кол-во</w:t>
            </w:r>
          </w:p>
        </w:tc>
        <w:tc>
          <w:tcPr>
            <w:tcW w:w="715" w:type="dxa"/>
          </w:tcPr>
          <w:p w:rsidR="00FA3E6C" w:rsidRDefault="00FA3E6C">
            <w:pPr>
              <w:pStyle w:val="ConsPlusNormal"/>
              <w:jc w:val="center"/>
            </w:pPr>
            <w:r>
              <w:t>%</w:t>
            </w:r>
          </w:p>
        </w:tc>
      </w:tr>
      <w:tr w:rsidR="00FA3E6C">
        <w:tc>
          <w:tcPr>
            <w:tcW w:w="5613" w:type="dxa"/>
          </w:tcPr>
          <w:p w:rsidR="00FA3E6C" w:rsidRDefault="00FA3E6C">
            <w:pPr>
              <w:pStyle w:val="ConsPlusNormal"/>
              <w:jc w:val="both"/>
            </w:pPr>
            <w:r>
              <w:t>Территория проектируемого участка - всего</w:t>
            </w:r>
          </w:p>
        </w:tc>
        <w:tc>
          <w:tcPr>
            <w:tcW w:w="624" w:type="dxa"/>
          </w:tcPr>
          <w:p w:rsidR="00FA3E6C" w:rsidRDefault="00FA3E6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64" w:type="dxa"/>
          </w:tcPr>
          <w:p w:rsidR="00FA3E6C" w:rsidRDefault="00FA3E6C">
            <w:pPr>
              <w:pStyle w:val="ConsPlusNormal"/>
              <w:jc w:val="center"/>
            </w:pPr>
            <w:r>
              <w:t>1,42</w:t>
            </w:r>
          </w:p>
        </w:tc>
        <w:tc>
          <w:tcPr>
            <w:tcW w:w="737" w:type="dxa"/>
          </w:tcPr>
          <w:p w:rsidR="00FA3E6C" w:rsidRDefault="00FA3E6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FA3E6C" w:rsidRDefault="00FA3E6C">
            <w:pPr>
              <w:pStyle w:val="ConsPlusNormal"/>
              <w:jc w:val="center"/>
            </w:pPr>
            <w:r>
              <w:t>1,42</w:t>
            </w:r>
          </w:p>
        </w:tc>
        <w:tc>
          <w:tcPr>
            <w:tcW w:w="715" w:type="dxa"/>
          </w:tcPr>
          <w:p w:rsidR="00FA3E6C" w:rsidRDefault="00FA3E6C">
            <w:pPr>
              <w:pStyle w:val="ConsPlusNormal"/>
              <w:jc w:val="center"/>
            </w:pPr>
            <w:r>
              <w:t>100</w:t>
            </w:r>
          </w:p>
        </w:tc>
      </w:tr>
      <w:tr w:rsidR="00FA3E6C">
        <w:tblPrEx>
          <w:tblBorders>
            <w:insideH w:val="nil"/>
          </w:tblBorders>
        </w:tblPrEx>
        <w:tc>
          <w:tcPr>
            <w:tcW w:w="5613" w:type="dxa"/>
            <w:tcBorders>
              <w:bottom w:val="nil"/>
            </w:tcBorders>
          </w:tcPr>
          <w:p w:rsidR="00FA3E6C" w:rsidRDefault="00FA3E6C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624" w:type="dxa"/>
            <w:tcBorders>
              <w:bottom w:val="nil"/>
            </w:tcBorders>
          </w:tcPr>
          <w:p w:rsidR="00FA3E6C" w:rsidRDefault="00FA3E6C">
            <w:pPr>
              <w:pStyle w:val="ConsPlusNormal"/>
            </w:pPr>
          </w:p>
        </w:tc>
        <w:tc>
          <w:tcPr>
            <w:tcW w:w="964" w:type="dxa"/>
            <w:tcBorders>
              <w:bottom w:val="nil"/>
            </w:tcBorders>
          </w:tcPr>
          <w:p w:rsidR="00FA3E6C" w:rsidRDefault="00FA3E6C">
            <w:pPr>
              <w:pStyle w:val="ConsPlusNormal"/>
            </w:pPr>
          </w:p>
        </w:tc>
        <w:tc>
          <w:tcPr>
            <w:tcW w:w="737" w:type="dxa"/>
            <w:tcBorders>
              <w:bottom w:val="nil"/>
            </w:tcBorders>
          </w:tcPr>
          <w:p w:rsidR="00FA3E6C" w:rsidRDefault="00FA3E6C">
            <w:pPr>
              <w:pStyle w:val="ConsPlusNormal"/>
            </w:pPr>
          </w:p>
        </w:tc>
        <w:tc>
          <w:tcPr>
            <w:tcW w:w="964" w:type="dxa"/>
            <w:tcBorders>
              <w:bottom w:val="nil"/>
            </w:tcBorders>
          </w:tcPr>
          <w:p w:rsidR="00FA3E6C" w:rsidRDefault="00FA3E6C">
            <w:pPr>
              <w:pStyle w:val="ConsPlusNormal"/>
            </w:pPr>
          </w:p>
        </w:tc>
        <w:tc>
          <w:tcPr>
            <w:tcW w:w="715" w:type="dxa"/>
            <w:tcBorders>
              <w:bottom w:val="nil"/>
            </w:tcBorders>
          </w:tcPr>
          <w:p w:rsidR="00FA3E6C" w:rsidRDefault="00FA3E6C">
            <w:pPr>
              <w:pStyle w:val="ConsPlusNormal"/>
            </w:pPr>
          </w:p>
        </w:tc>
      </w:tr>
      <w:tr w:rsidR="00FA3E6C">
        <w:tblPrEx>
          <w:tblBorders>
            <w:insideH w:val="nil"/>
          </w:tblBorders>
        </w:tblPrEx>
        <w:tc>
          <w:tcPr>
            <w:tcW w:w="5613" w:type="dxa"/>
            <w:tcBorders>
              <w:top w:val="nil"/>
            </w:tcBorders>
          </w:tcPr>
          <w:p w:rsidR="00FA3E6C" w:rsidRDefault="00FA3E6C">
            <w:pPr>
              <w:pStyle w:val="ConsPlusNormal"/>
            </w:pPr>
            <w:r>
              <w:t>территория жилой застройки (площадь застройки)</w:t>
            </w:r>
          </w:p>
        </w:tc>
        <w:tc>
          <w:tcPr>
            <w:tcW w:w="624" w:type="dxa"/>
            <w:tcBorders>
              <w:top w:val="nil"/>
            </w:tcBorders>
          </w:tcPr>
          <w:p w:rsidR="00FA3E6C" w:rsidRDefault="00FA3E6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64" w:type="dxa"/>
            <w:tcBorders>
              <w:top w:val="nil"/>
            </w:tcBorders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tcBorders>
              <w:top w:val="nil"/>
            </w:tcBorders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top w:val="nil"/>
            </w:tcBorders>
          </w:tcPr>
          <w:p w:rsidR="00FA3E6C" w:rsidRDefault="00FA3E6C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715" w:type="dxa"/>
            <w:tcBorders>
              <w:top w:val="nil"/>
            </w:tcBorders>
          </w:tcPr>
          <w:p w:rsidR="00FA3E6C" w:rsidRDefault="00FA3E6C">
            <w:pPr>
              <w:pStyle w:val="ConsPlusNormal"/>
              <w:jc w:val="center"/>
            </w:pPr>
            <w:r>
              <w:t>16,0</w:t>
            </w:r>
          </w:p>
        </w:tc>
      </w:tr>
      <w:tr w:rsidR="00FA3E6C">
        <w:tc>
          <w:tcPr>
            <w:tcW w:w="5613" w:type="dxa"/>
          </w:tcPr>
          <w:p w:rsidR="00FA3E6C" w:rsidRDefault="00FA3E6C">
            <w:pPr>
              <w:pStyle w:val="ConsPlusNormal"/>
              <w:jc w:val="both"/>
            </w:pPr>
            <w:r>
              <w:t>территория индивидуальной жилой застройки</w:t>
            </w:r>
          </w:p>
        </w:tc>
        <w:tc>
          <w:tcPr>
            <w:tcW w:w="624" w:type="dxa"/>
          </w:tcPr>
          <w:p w:rsidR="00FA3E6C" w:rsidRDefault="00FA3E6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64" w:type="dxa"/>
          </w:tcPr>
          <w:p w:rsidR="00FA3E6C" w:rsidRDefault="00FA3E6C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737" w:type="dxa"/>
          </w:tcPr>
          <w:p w:rsidR="00FA3E6C" w:rsidRDefault="00FA3E6C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5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</w:tr>
      <w:tr w:rsidR="00FA3E6C">
        <w:tc>
          <w:tcPr>
            <w:tcW w:w="5613" w:type="dxa"/>
          </w:tcPr>
          <w:p w:rsidR="00FA3E6C" w:rsidRDefault="00FA3E6C">
            <w:pPr>
              <w:pStyle w:val="ConsPlusNormal"/>
              <w:jc w:val="both"/>
            </w:pPr>
            <w:r>
              <w:t>Территория общего пользования - всего</w:t>
            </w:r>
          </w:p>
        </w:tc>
        <w:tc>
          <w:tcPr>
            <w:tcW w:w="624" w:type="dxa"/>
          </w:tcPr>
          <w:p w:rsidR="00FA3E6C" w:rsidRDefault="00FA3E6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64" w:type="dxa"/>
          </w:tcPr>
          <w:p w:rsidR="00FA3E6C" w:rsidRDefault="00FA3E6C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737" w:type="dxa"/>
          </w:tcPr>
          <w:p w:rsidR="00FA3E6C" w:rsidRDefault="00FA3E6C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64" w:type="dxa"/>
          </w:tcPr>
          <w:p w:rsidR="00FA3E6C" w:rsidRDefault="00FA3E6C">
            <w:pPr>
              <w:pStyle w:val="ConsPlusNormal"/>
              <w:jc w:val="center"/>
            </w:pPr>
            <w:r>
              <w:t>1,19</w:t>
            </w:r>
          </w:p>
        </w:tc>
        <w:tc>
          <w:tcPr>
            <w:tcW w:w="715" w:type="dxa"/>
          </w:tcPr>
          <w:p w:rsidR="00FA3E6C" w:rsidRDefault="00FA3E6C">
            <w:pPr>
              <w:pStyle w:val="ConsPlusNormal"/>
              <w:jc w:val="center"/>
            </w:pPr>
            <w:r>
              <w:t>84,0</w:t>
            </w:r>
          </w:p>
        </w:tc>
      </w:tr>
      <w:tr w:rsidR="00FA3E6C">
        <w:tc>
          <w:tcPr>
            <w:tcW w:w="5613" w:type="dxa"/>
          </w:tcPr>
          <w:p w:rsidR="00FA3E6C" w:rsidRDefault="00FA3E6C">
            <w:pPr>
              <w:pStyle w:val="ConsPlusNormal"/>
              <w:jc w:val="both"/>
            </w:pPr>
            <w:r>
              <w:t>В том числе участки детских садов</w:t>
            </w:r>
          </w:p>
        </w:tc>
        <w:tc>
          <w:tcPr>
            <w:tcW w:w="624" w:type="dxa"/>
          </w:tcPr>
          <w:p w:rsidR="00FA3E6C" w:rsidRDefault="00FA3E6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64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5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</w:tr>
      <w:tr w:rsidR="00FA3E6C">
        <w:tc>
          <w:tcPr>
            <w:tcW w:w="5613" w:type="dxa"/>
          </w:tcPr>
          <w:p w:rsidR="00FA3E6C" w:rsidRDefault="00FA3E6C">
            <w:pPr>
              <w:pStyle w:val="ConsPlusNormal"/>
              <w:jc w:val="both"/>
            </w:pPr>
            <w:r>
              <w:t>Озеленение территории</w:t>
            </w:r>
          </w:p>
        </w:tc>
        <w:tc>
          <w:tcPr>
            <w:tcW w:w="624" w:type="dxa"/>
          </w:tcPr>
          <w:p w:rsidR="00FA3E6C" w:rsidRDefault="00FA3E6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64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FA3E6C" w:rsidRDefault="00FA3E6C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715" w:type="dxa"/>
          </w:tcPr>
          <w:p w:rsidR="00FA3E6C" w:rsidRDefault="00FA3E6C">
            <w:pPr>
              <w:pStyle w:val="ConsPlusNormal"/>
              <w:jc w:val="center"/>
            </w:pPr>
            <w:r>
              <w:t>42,0</w:t>
            </w:r>
          </w:p>
        </w:tc>
      </w:tr>
      <w:tr w:rsidR="00FA3E6C">
        <w:tc>
          <w:tcPr>
            <w:tcW w:w="5613" w:type="dxa"/>
          </w:tcPr>
          <w:p w:rsidR="00FA3E6C" w:rsidRDefault="00FA3E6C">
            <w:pPr>
              <w:pStyle w:val="ConsPlusNormal"/>
            </w:pPr>
            <w:r>
              <w:t>Участки объектов культурно-бытового и коммунального обслуживания (офисы, магазины)</w:t>
            </w:r>
          </w:p>
        </w:tc>
        <w:tc>
          <w:tcPr>
            <w:tcW w:w="624" w:type="dxa"/>
          </w:tcPr>
          <w:p w:rsidR="00FA3E6C" w:rsidRDefault="00FA3E6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64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5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</w:tr>
      <w:tr w:rsidR="00FA3E6C">
        <w:tc>
          <w:tcPr>
            <w:tcW w:w="5613" w:type="dxa"/>
          </w:tcPr>
          <w:p w:rsidR="00FA3E6C" w:rsidRDefault="00FA3E6C">
            <w:pPr>
              <w:pStyle w:val="ConsPlusNormal"/>
            </w:pPr>
            <w:r>
              <w:t>Участки площадок для отдыха взрослого населения, детей, спортивные площадки</w:t>
            </w:r>
          </w:p>
        </w:tc>
        <w:tc>
          <w:tcPr>
            <w:tcW w:w="624" w:type="dxa"/>
          </w:tcPr>
          <w:p w:rsidR="00FA3E6C" w:rsidRDefault="00FA3E6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64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FA3E6C" w:rsidRDefault="00FA3E6C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15" w:type="dxa"/>
          </w:tcPr>
          <w:p w:rsidR="00FA3E6C" w:rsidRDefault="00FA3E6C">
            <w:pPr>
              <w:pStyle w:val="ConsPlusNormal"/>
              <w:jc w:val="center"/>
            </w:pPr>
            <w:r>
              <w:t>5,0</w:t>
            </w:r>
          </w:p>
        </w:tc>
      </w:tr>
      <w:tr w:rsidR="00FA3E6C">
        <w:tc>
          <w:tcPr>
            <w:tcW w:w="5613" w:type="dxa"/>
          </w:tcPr>
          <w:p w:rsidR="00FA3E6C" w:rsidRDefault="00FA3E6C">
            <w:pPr>
              <w:pStyle w:val="ConsPlusNormal"/>
              <w:jc w:val="both"/>
            </w:pPr>
            <w:r>
              <w:t>Участки гаражей, стоянки подземные</w:t>
            </w:r>
          </w:p>
        </w:tc>
        <w:tc>
          <w:tcPr>
            <w:tcW w:w="624" w:type="dxa"/>
          </w:tcPr>
          <w:p w:rsidR="00FA3E6C" w:rsidRDefault="00FA3E6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64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FA3E6C" w:rsidRDefault="00FA3E6C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715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</w:tr>
      <w:tr w:rsidR="00FA3E6C">
        <w:tc>
          <w:tcPr>
            <w:tcW w:w="5613" w:type="dxa"/>
          </w:tcPr>
          <w:p w:rsidR="00FA3E6C" w:rsidRDefault="00FA3E6C">
            <w:pPr>
              <w:pStyle w:val="ConsPlusNormal"/>
            </w:pPr>
            <w:r>
              <w:t>Улицы, проезды, подъезды к домам, гостевые парковки</w:t>
            </w:r>
          </w:p>
        </w:tc>
        <w:tc>
          <w:tcPr>
            <w:tcW w:w="624" w:type="dxa"/>
          </w:tcPr>
          <w:p w:rsidR="00FA3E6C" w:rsidRDefault="00FA3E6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964" w:type="dxa"/>
          </w:tcPr>
          <w:p w:rsidR="00FA3E6C" w:rsidRDefault="00FA3E6C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737" w:type="dxa"/>
          </w:tcPr>
          <w:p w:rsidR="00FA3E6C" w:rsidRDefault="00FA3E6C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64" w:type="dxa"/>
          </w:tcPr>
          <w:p w:rsidR="00FA3E6C" w:rsidRDefault="00FA3E6C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715" w:type="dxa"/>
          </w:tcPr>
          <w:p w:rsidR="00FA3E6C" w:rsidRDefault="00FA3E6C">
            <w:pPr>
              <w:pStyle w:val="ConsPlusNormal"/>
              <w:jc w:val="center"/>
            </w:pPr>
            <w:r>
              <w:t>37,0</w:t>
            </w:r>
          </w:p>
        </w:tc>
      </w:tr>
    </w:tbl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ind w:firstLine="540"/>
        <w:jc w:val="both"/>
      </w:pPr>
      <w:r>
        <w:t>Описание и обоснование параметров планируемого строительства систем социального, транспортного обслуживания и инженерно-технического обеспечения, необходимых для развития территории, изложены в материалах по обоснованию проекта планировки.</w:t>
      </w:r>
    </w:p>
    <w:p w:rsidR="00FA3E6C" w:rsidRDefault="00FA3E6C">
      <w:pPr>
        <w:pStyle w:val="ConsPlusNormal"/>
        <w:spacing w:before="220"/>
        <w:ind w:firstLine="540"/>
        <w:jc w:val="both"/>
      </w:pPr>
      <w:r>
        <w:t xml:space="preserve">Технико-экономические показатели проекта планировки - в </w:t>
      </w:r>
      <w:hyperlink w:anchor="P317">
        <w:r>
          <w:rPr>
            <w:color w:val="0000FF"/>
          </w:rPr>
          <w:t>таблице N 4</w:t>
        </w:r>
      </w:hyperlink>
      <w:r>
        <w:t>.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right"/>
        <w:outlineLvl w:val="3"/>
      </w:pPr>
      <w:bookmarkStart w:id="6" w:name="P317"/>
      <w:bookmarkEnd w:id="6"/>
      <w:r>
        <w:t>Таблица N 4</w:t>
      </w:r>
    </w:p>
    <w:p w:rsidR="00FA3E6C" w:rsidRDefault="00FA3E6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876"/>
        <w:gridCol w:w="1304"/>
        <w:gridCol w:w="1531"/>
        <w:gridCol w:w="1304"/>
      </w:tblGrid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Ед. измер.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Современное состояние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Проектное решение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  <w:outlineLvl w:val="4"/>
            </w:pPr>
            <w:r>
              <w:t>1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Территория (подзона)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53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Площадь проектируемой территории - всего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1,42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1,42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</w:pP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В том числе территории: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53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</w:pP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Жилая зона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1,42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1,42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</w:pP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В том числе: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53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</w:pP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многоэтажная застройка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1,42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</w:pP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среднеэтажная застройка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</w:pP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малоэтажная застройка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</w:pP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объекты социального и культурно-бытового обслуживания населения (магазины, детские сады и т.д.)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</w:pP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рекреационные зоны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</w:pP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зоны инженерной и транспортной инфраструктур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</w:pP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производственные зоны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</w:pP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иные зоны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Из общей площади проектируемого района участки гаражей и автостоянок для постоянного хранения индивидуального автотранспорта (подземные паркинги)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0,73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 xml:space="preserve">Из общей площади проектируемого района </w:t>
            </w:r>
            <w:r>
              <w:lastRenderedPageBreak/>
              <w:t>территории общего пользования - всего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1,19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</w:pP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из них: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53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</w:pP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зеленые насаждения общего пользования (озеленение дворов)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0,6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</w:pP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улицы, дороги, проезды, площади, подъезды к домам, гостевые парковки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0,52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</w:pP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прочие территории общего пользования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Коэффициент застройки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16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Коэффициент плотности застройки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2,4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Из общей территории: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53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</w:pP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земли федеральной собственности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</w:pP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земли субъектов Российской Федерации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</w:pP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земли муниципальной собственности или незарегистрированные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0,0636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</w:pP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земли частной собственности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0,9264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  <w:outlineLvl w:val="4"/>
            </w:pPr>
            <w:r>
              <w:t>2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Население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53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Численность населения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734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Плотность населения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чел/га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517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  <w:outlineLvl w:val="4"/>
            </w:pPr>
            <w:r>
              <w:t>3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Жилищный фонд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53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Общая площадь жилых домов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 xml:space="preserve">тыс. кв. м общей </w:t>
            </w:r>
            <w:r>
              <w:lastRenderedPageBreak/>
              <w:t>площади квартир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lastRenderedPageBreak/>
              <w:t>2,3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22,0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lastRenderedPageBreak/>
              <w:t>3.2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Средняя жилая этажность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этаж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14,5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Убыль жилищного фонда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Новое жилищное строительство - общая поэтажная площадь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34,0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</w:pP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в том числе: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53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</w:pP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малоэтажное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</w:pP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4 - 5-этажное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</w:pP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многоэтажное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34,0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Площадь застройки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0,23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  <w:outlineLvl w:val="4"/>
            </w:pPr>
            <w:r>
              <w:t>4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Объекты социального и культурно-бытового обслуживания населения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53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Детские дошкольные учреждения - всего/1000 чел.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мест</w:t>
            </w:r>
          </w:p>
        </w:tc>
        <w:tc>
          <w:tcPr>
            <w:tcW w:w="2835" w:type="dxa"/>
            <w:gridSpan w:val="2"/>
            <w:vMerge w:val="restart"/>
          </w:tcPr>
          <w:p w:rsidR="00FA3E6C" w:rsidRDefault="00FA3E6C">
            <w:pPr>
              <w:pStyle w:val="ConsPlusNormal"/>
              <w:jc w:val="center"/>
            </w:pPr>
            <w:r>
              <w:t>Встроенно-пристроенное детское учреждение на 60 мест и на смежных территориях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Общеобразовательные школы - всего/1000 чел.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2835" w:type="dxa"/>
            <w:gridSpan w:val="2"/>
            <w:vMerge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Поликлиники - всего/1000 чел.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посещений в смену</w:t>
            </w:r>
          </w:p>
        </w:tc>
        <w:tc>
          <w:tcPr>
            <w:tcW w:w="2835" w:type="dxa"/>
            <w:gridSpan w:val="2"/>
            <w:vMerge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Аптеки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объектов</w:t>
            </w:r>
          </w:p>
        </w:tc>
        <w:tc>
          <w:tcPr>
            <w:tcW w:w="2835" w:type="dxa"/>
            <w:gridSpan w:val="2"/>
            <w:vMerge w:val="restart"/>
          </w:tcPr>
          <w:p w:rsidR="00FA3E6C" w:rsidRDefault="00FA3E6C">
            <w:pPr>
              <w:pStyle w:val="ConsPlusNormal"/>
              <w:jc w:val="center"/>
            </w:pPr>
            <w:r>
              <w:t>Существующие. встроенно-пристроенные в первых этажах жилых домов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Молочная кухня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порций в смену</w:t>
            </w:r>
          </w:p>
        </w:tc>
        <w:tc>
          <w:tcPr>
            <w:tcW w:w="2835" w:type="dxa"/>
            <w:gridSpan w:val="2"/>
            <w:vMerge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 xml:space="preserve">Предприятия розничной торговли, питания и </w:t>
            </w:r>
            <w:r>
              <w:lastRenderedPageBreak/>
              <w:t>бытового обслуживания населения - всего/1000 чел.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lastRenderedPageBreak/>
              <w:t xml:space="preserve">кв. м </w:t>
            </w:r>
            <w:r>
              <w:lastRenderedPageBreak/>
              <w:t>торговой площади</w:t>
            </w:r>
          </w:p>
        </w:tc>
        <w:tc>
          <w:tcPr>
            <w:tcW w:w="2835" w:type="dxa"/>
            <w:gridSpan w:val="2"/>
          </w:tcPr>
          <w:p w:rsidR="00FA3E6C" w:rsidRDefault="00FA3E6C">
            <w:pPr>
              <w:pStyle w:val="ConsPlusNormal"/>
              <w:jc w:val="center"/>
            </w:pPr>
            <w:r>
              <w:lastRenderedPageBreak/>
              <w:t>Существующие. встроенно-</w:t>
            </w:r>
            <w:r>
              <w:lastRenderedPageBreak/>
              <w:t>пристроенные в первых этажах жилых домов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lastRenderedPageBreak/>
              <w:t>4.7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Учреждения культуры и искусства - всего/1000 чел.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2835" w:type="dxa"/>
            <w:gridSpan w:val="2"/>
            <w:vMerge w:val="restart"/>
          </w:tcPr>
          <w:p w:rsidR="00FA3E6C" w:rsidRDefault="00FA3E6C">
            <w:pPr>
              <w:pStyle w:val="ConsPlusNormal"/>
              <w:jc w:val="center"/>
            </w:pPr>
            <w:r>
              <w:t>На смежных территориях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4.8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Физкультурно-спортивные сооружения - всего/1000 чел.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2835" w:type="dxa"/>
            <w:gridSpan w:val="2"/>
            <w:vMerge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4.9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Учреждения жилищно-коммунального хозяйства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2835" w:type="dxa"/>
            <w:gridSpan w:val="2"/>
            <w:vMerge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4.10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Организации и учреждения управления, кредитно-финансовые учреждения и предприятия связи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2835" w:type="dxa"/>
            <w:gridSpan w:val="2"/>
            <w:vMerge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4.11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Прочие объекты социального и культурно-бытового обслуживания населения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2835" w:type="dxa"/>
            <w:gridSpan w:val="2"/>
            <w:vMerge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  <w:outlineLvl w:val="4"/>
            </w:pPr>
            <w:r>
              <w:t>5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Транспортная инфраструктура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53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Протяженность улично-дорожной сети вокруг квартала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2111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2111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Гаражи для хранения легковых автомобилей проектируемых жилых домов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маш.-мест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440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4876" w:type="dxa"/>
          </w:tcPr>
          <w:p w:rsidR="00FA3E6C" w:rsidRDefault="00FA3E6C">
            <w:pPr>
              <w:pStyle w:val="ConsPlusNormal"/>
            </w:pPr>
            <w:r>
              <w:t>Временные (гостевые) парковки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маш.-мест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120</w:t>
            </w:r>
          </w:p>
        </w:tc>
      </w:tr>
    </w:tbl>
    <w:p w:rsidR="00FA3E6C" w:rsidRDefault="00FA3E6C">
      <w:pPr>
        <w:pStyle w:val="ConsPlusNormal"/>
        <w:sectPr w:rsidR="00FA3E6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ind w:firstLine="540"/>
        <w:jc w:val="both"/>
      </w:pPr>
      <w:r>
        <w:t>Показатели в проекте даны укрупненно. На следующей стадии архитектурно-строительного проектирования возможны уточнения.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center"/>
        <w:outlineLvl w:val="2"/>
      </w:pPr>
      <w:r>
        <w:t>VIII. Защита территории от чрезвычайных ситуаций природного</w:t>
      </w:r>
    </w:p>
    <w:p w:rsidR="00FA3E6C" w:rsidRDefault="00FA3E6C">
      <w:pPr>
        <w:pStyle w:val="ConsPlusNormal"/>
        <w:jc w:val="center"/>
      </w:pPr>
      <w:r>
        <w:t>и техногенного характера, проведение мероприятий</w:t>
      </w:r>
    </w:p>
    <w:p w:rsidR="00FA3E6C" w:rsidRDefault="00FA3E6C">
      <w:pPr>
        <w:pStyle w:val="ConsPlusNormal"/>
        <w:jc w:val="center"/>
      </w:pPr>
      <w:r>
        <w:t>по гражданской обороне и обеспечению пожарной безопасности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ind w:firstLine="540"/>
        <w:jc w:val="both"/>
      </w:pPr>
      <w:r>
        <w:t xml:space="preserve">Мероприятия по защите территории от чрезвычайных ситуаций природного и техногенного характера, проведение мероприятий по гражданской обороне и обеспечению пожарной безопасности должны производится в соответствии с положениями Генерального </w:t>
      </w:r>
      <w:hyperlink r:id="rId32">
        <w:r>
          <w:rPr>
            <w:color w:val="0000FF"/>
          </w:rPr>
          <w:t>плана</w:t>
        </w:r>
      </w:hyperlink>
      <w:r>
        <w:t xml:space="preserve"> городского округа город Воронеж.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right"/>
      </w:pPr>
      <w:r>
        <w:t>Руководитель управления</w:t>
      </w:r>
    </w:p>
    <w:p w:rsidR="00FA3E6C" w:rsidRDefault="00FA3E6C">
      <w:pPr>
        <w:pStyle w:val="ConsPlusNormal"/>
        <w:jc w:val="right"/>
      </w:pPr>
      <w:r>
        <w:t>главного архитектора городского округа</w:t>
      </w:r>
    </w:p>
    <w:p w:rsidR="00FA3E6C" w:rsidRDefault="00FA3E6C">
      <w:pPr>
        <w:pStyle w:val="ConsPlusNormal"/>
        <w:jc w:val="right"/>
      </w:pPr>
      <w:r>
        <w:t>А.В.ШЕВЕЛЕВ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right"/>
        <w:outlineLvl w:val="1"/>
      </w:pPr>
      <w:r>
        <w:t>Приложение N 2</w:t>
      </w:r>
    </w:p>
    <w:p w:rsidR="00FA3E6C" w:rsidRDefault="00FA3E6C">
      <w:pPr>
        <w:pStyle w:val="ConsPlusNormal"/>
        <w:jc w:val="right"/>
      </w:pPr>
      <w:r>
        <w:t>к проекту</w:t>
      </w:r>
    </w:p>
    <w:p w:rsidR="00FA3E6C" w:rsidRDefault="00FA3E6C">
      <w:pPr>
        <w:pStyle w:val="ConsPlusNormal"/>
        <w:jc w:val="right"/>
      </w:pPr>
      <w:r>
        <w:t>планировки территории квартала,</w:t>
      </w:r>
    </w:p>
    <w:p w:rsidR="00FA3E6C" w:rsidRDefault="00FA3E6C">
      <w:pPr>
        <w:pStyle w:val="ConsPlusNormal"/>
        <w:jc w:val="right"/>
      </w:pPr>
      <w:r>
        <w:t>ограниченного улицами: Димитрова,</w:t>
      </w:r>
    </w:p>
    <w:p w:rsidR="00FA3E6C" w:rsidRDefault="00FA3E6C">
      <w:pPr>
        <w:pStyle w:val="ConsPlusNormal"/>
        <w:jc w:val="right"/>
      </w:pPr>
      <w:r>
        <w:t>Красногвардейца Зубрилова,</w:t>
      </w:r>
    </w:p>
    <w:p w:rsidR="00FA3E6C" w:rsidRDefault="00FA3E6C">
      <w:pPr>
        <w:pStyle w:val="ConsPlusNormal"/>
        <w:jc w:val="right"/>
      </w:pPr>
      <w:r>
        <w:t>Набережная в городском</w:t>
      </w:r>
    </w:p>
    <w:p w:rsidR="00FA3E6C" w:rsidRDefault="00FA3E6C">
      <w:pPr>
        <w:pStyle w:val="ConsPlusNormal"/>
        <w:jc w:val="right"/>
      </w:pPr>
      <w:r>
        <w:t>округе город Воронеж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center"/>
      </w:pPr>
      <w:bookmarkStart w:id="7" w:name="P606"/>
      <w:bookmarkEnd w:id="7"/>
      <w:r>
        <w:t>ЧЕРТЕЖ</w:t>
      </w:r>
    </w:p>
    <w:p w:rsidR="00FA3E6C" w:rsidRDefault="00FA3E6C">
      <w:pPr>
        <w:pStyle w:val="ConsPlusNormal"/>
        <w:jc w:val="center"/>
      </w:pPr>
      <w:r>
        <w:t>ПЛАНИРОВКИ ТЕРРИТОРИИ КВАРТАЛА, ОГРАНИЧЕННОГО УЛИЦАМИ:</w:t>
      </w:r>
    </w:p>
    <w:p w:rsidR="00FA3E6C" w:rsidRDefault="00FA3E6C">
      <w:pPr>
        <w:pStyle w:val="ConsPlusNormal"/>
        <w:jc w:val="center"/>
      </w:pPr>
      <w:r>
        <w:t>ДИМИТРОВА, КРАСНОГВАРДЕЙЦА ЗУБРИЛОВА,</w:t>
      </w:r>
    </w:p>
    <w:p w:rsidR="00FA3E6C" w:rsidRDefault="00FA3E6C">
      <w:pPr>
        <w:pStyle w:val="ConsPlusNormal"/>
        <w:jc w:val="center"/>
      </w:pPr>
      <w:r>
        <w:t>НАБЕРЕЖНАЯ В ГОРОДСКОМ ОКРУГЕ ГОРОД ВОРОНЕЖ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center"/>
      </w:pPr>
      <w:r>
        <w:rPr>
          <w:noProof/>
          <w:position w:val="-435"/>
        </w:rPr>
        <w:lastRenderedPageBreak/>
        <w:drawing>
          <wp:inline distT="0" distB="0" distL="0" distR="0">
            <wp:extent cx="5531485" cy="566737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1485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center"/>
      </w:pPr>
      <w:r>
        <w:t>Условные обозначения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center"/>
      </w:pPr>
      <w:r>
        <w:rPr>
          <w:noProof/>
          <w:position w:val="-292"/>
        </w:rPr>
        <w:lastRenderedPageBreak/>
        <w:drawing>
          <wp:inline distT="0" distB="0" distL="0" distR="0">
            <wp:extent cx="5520690" cy="385508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690" cy="385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center"/>
      </w:pPr>
      <w:r>
        <w:rPr>
          <w:noProof/>
          <w:position w:val="-422"/>
        </w:rPr>
        <w:lastRenderedPageBreak/>
        <w:drawing>
          <wp:inline distT="0" distB="0" distL="0" distR="0">
            <wp:extent cx="4525645" cy="551053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5645" cy="5510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center"/>
      </w:pPr>
      <w:r>
        <w:t>Экспликация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sectPr w:rsidR="00FA3E6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7483"/>
        <w:gridCol w:w="1531"/>
      </w:tblGrid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7483" w:type="dxa"/>
          </w:tcPr>
          <w:p w:rsidR="00FA3E6C" w:rsidRDefault="00FA3E6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Примеч.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83" w:type="dxa"/>
          </w:tcPr>
          <w:p w:rsidR="00FA3E6C" w:rsidRDefault="00FA3E6C">
            <w:pPr>
              <w:pStyle w:val="ConsPlusNormal"/>
            </w:pPr>
            <w:r>
              <w:t xml:space="preserve">Жилой многоквартирный многоэтажный дом (8 - 17 эт.) </w:t>
            </w:r>
            <w:hyperlink w:anchor="P635">
              <w:r>
                <w:rPr>
                  <w:color w:val="0000FF"/>
                </w:rPr>
                <w:t>&lt;*&gt;</w:t>
              </w:r>
            </w:hyperlink>
            <w:r>
              <w:t xml:space="preserve"> с нежилыми помещениями на первом этаже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</w:pPr>
            <w:r>
              <w:t>новое строит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83" w:type="dxa"/>
          </w:tcPr>
          <w:p w:rsidR="00FA3E6C" w:rsidRDefault="00FA3E6C">
            <w:pPr>
              <w:pStyle w:val="ConsPlusNormal"/>
            </w:pPr>
            <w:r>
              <w:t xml:space="preserve">Жилой многоквартирный многоэтажный дом (15 - 17 эт.) </w:t>
            </w:r>
            <w:hyperlink w:anchor="P635">
              <w:r>
                <w:rPr>
                  <w:color w:val="0000FF"/>
                </w:rPr>
                <w:t>&lt;*&gt;</w:t>
              </w:r>
            </w:hyperlink>
            <w:r>
              <w:t xml:space="preserve"> с нежилыми помещениями на первом этаже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</w:pPr>
            <w:r>
              <w:t>новое строит</w:t>
            </w:r>
          </w:p>
        </w:tc>
      </w:tr>
      <w:tr w:rsidR="00FA3E6C">
        <w:tc>
          <w:tcPr>
            <w:tcW w:w="567" w:type="dxa"/>
          </w:tcPr>
          <w:p w:rsidR="00FA3E6C" w:rsidRDefault="00FA3E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83" w:type="dxa"/>
          </w:tcPr>
          <w:p w:rsidR="00FA3E6C" w:rsidRDefault="00FA3E6C">
            <w:pPr>
              <w:pStyle w:val="ConsPlusNormal"/>
            </w:pPr>
            <w:r>
              <w:t>Два подземных одноэтажных паркина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</w:pPr>
            <w:r>
              <w:t>новое строит</w:t>
            </w:r>
          </w:p>
        </w:tc>
      </w:tr>
    </w:tbl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ind w:firstLine="540"/>
        <w:jc w:val="both"/>
      </w:pPr>
      <w:r>
        <w:t>--------------------------------</w:t>
      </w:r>
    </w:p>
    <w:p w:rsidR="00FA3E6C" w:rsidRDefault="00FA3E6C">
      <w:pPr>
        <w:pStyle w:val="ConsPlusNormal"/>
        <w:spacing w:before="220"/>
        <w:ind w:firstLine="540"/>
        <w:jc w:val="both"/>
      </w:pPr>
      <w:bookmarkStart w:id="8" w:name="P635"/>
      <w:bookmarkEnd w:id="8"/>
      <w:r>
        <w:t>&lt;*&gt; Этажность определена без учета технического и цокольного этажей (определяется на стадии детальной планировки).</w:t>
      </w:r>
    </w:p>
    <w:p w:rsidR="00FA3E6C" w:rsidRDefault="00FA3E6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5046"/>
        <w:gridCol w:w="1191"/>
        <w:gridCol w:w="1531"/>
        <w:gridCol w:w="1304"/>
      </w:tblGrid>
      <w:tr w:rsidR="00FA3E6C">
        <w:tc>
          <w:tcPr>
            <w:tcW w:w="510" w:type="dxa"/>
          </w:tcPr>
          <w:p w:rsidR="00FA3E6C" w:rsidRDefault="00FA3E6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</w:tcPr>
          <w:p w:rsidR="00FA3E6C" w:rsidRDefault="00FA3E6C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191" w:type="dxa"/>
          </w:tcPr>
          <w:p w:rsidR="00FA3E6C" w:rsidRDefault="00FA3E6C">
            <w:pPr>
              <w:pStyle w:val="ConsPlusNormal"/>
              <w:jc w:val="center"/>
            </w:pPr>
            <w:r>
              <w:t>Ед. измер.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Современное состояние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Проектное решение</w:t>
            </w:r>
          </w:p>
        </w:tc>
      </w:tr>
      <w:tr w:rsidR="00FA3E6C">
        <w:tc>
          <w:tcPr>
            <w:tcW w:w="510" w:type="dxa"/>
          </w:tcPr>
          <w:p w:rsidR="00FA3E6C" w:rsidRDefault="00FA3E6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</w:tcPr>
          <w:p w:rsidR="00FA3E6C" w:rsidRDefault="00FA3E6C">
            <w:pPr>
              <w:pStyle w:val="ConsPlusNormal"/>
            </w:pPr>
            <w:r>
              <w:t>Территория (подзона)</w:t>
            </w:r>
          </w:p>
        </w:tc>
        <w:tc>
          <w:tcPr>
            <w:tcW w:w="119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53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10" w:type="dxa"/>
          </w:tcPr>
          <w:p w:rsidR="00FA3E6C" w:rsidRDefault="00FA3E6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5046" w:type="dxa"/>
          </w:tcPr>
          <w:p w:rsidR="00FA3E6C" w:rsidRDefault="00FA3E6C">
            <w:pPr>
              <w:pStyle w:val="ConsPlusNormal"/>
            </w:pPr>
            <w:r>
              <w:t>Площадь проектируемой территории - всего</w:t>
            </w:r>
          </w:p>
        </w:tc>
        <w:tc>
          <w:tcPr>
            <w:tcW w:w="1191" w:type="dxa"/>
          </w:tcPr>
          <w:p w:rsidR="00FA3E6C" w:rsidRDefault="00FA3E6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1,42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1,42</w:t>
            </w:r>
          </w:p>
        </w:tc>
      </w:tr>
      <w:tr w:rsidR="00FA3E6C">
        <w:tc>
          <w:tcPr>
            <w:tcW w:w="510" w:type="dxa"/>
          </w:tcPr>
          <w:p w:rsidR="00FA3E6C" w:rsidRDefault="00FA3E6C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5046" w:type="dxa"/>
          </w:tcPr>
          <w:p w:rsidR="00FA3E6C" w:rsidRDefault="00FA3E6C">
            <w:pPr>
              <w:pStyle w:val="ConsPlusNormal"/>
            </w:pPr>
            <w:r>
              <w:t>Из общей площади проектируемого района территории общего пользования - всего</w:t>
            </w:r>
          </w:p>
        </w:tc>
        <w:tc>
          <w:tcPr>
            <w:tcW w:w="1191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1,19</w:t>
            </w:r>
          </w:p>
        </w:tc>
      </w:tr>
      <w:tr w:rsidR="00FA3E6C">
        <w:tc>
          <w:tcPr>
            <w:tcW w:w="510" w:type="dxa"/>
          </w:tcPr>
          <w:p w:rsidR="00FA3E6C" w:rsidRDefault="00FA3E6C">
            <w:pPr>
              <w:pStyle w:val="ConsPlusNormal"/>
            </w:pPr>
          </w:p>
        </w:tc>
        <w:tc>
          <w:tcPr>
            <w:tcW w:w="5046" w:type="dxa"/>
          </w:tcPr>
          <w:p w:rsidR="00FA3E6C" w:rsidRDefault="00FA3E6C">
            <w:pPr>
              <w:pStyle w:val="ConsPlusNormal"/>
            </w:pPr>
            <w:r>
              <w:t>из них:</w:t>
            </w:r>
          </w:p>
        </w:tc>
        <w:tc>
          <w:tcPr>
            <w:tcW w:w="119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53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10" w:type="dxa"/>
          </w:tcPr>
          <w:p w:rsidR="00FA3E6C" w:rsidRDefault="00FA3E6C">
            <w:pPr>
              <w:pStyle w:val="ConsPlusNormal"/>
            </w:pPr>
          </w:p>
        </w:tc>
        <w:tc>
          <w:tcPr>
            <w:tcW w:w="5046" w:type="dxa"/>
          </w:tcPr>
          <w:p w:rsidR="00FA3E6C" w:rsidRDefault="00FA3E6C">
            <w:pPr>
              <w:pStyle w:val="ConsPlusNormal"/>
            </w:pPr>
            <w:r>
              <w:t>зеленые насаждения общего пользования (озеленение дворов)</w:t>
            </w:r>
          </w:p>
        </w:tc>
        <w:tc>
          <w:tcPr>
            <w:tcW w:w="1191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0,6</w:t>
            </w:r>
          </w:p>
        </w:tc>
      </w:tr>
      <w:tr w:rsidR="00FA3E6C">
        <w:tc>
          <w:tcPr>
            <w:tcW w:w="510" w:type="dxa"/>
          </w:tcPr>
          <w:p w:rsidR="00FA3E6C" w:rsidRDefault="00FA3E6C">
            <w:pPr>
              <w:pStyle w:val="ConsPlusNormal"/>
            </w:pPr>
          </w:p>
        </w:tc>
        <w:tc>
          <w:tcPr>
            <w:tcW w:w="5046" w:type="dxa"/>
          </w:tcPr>
          <w:p w:rsidR="00FA3E6C" w:rsidRDefault="00FA3E6C">
            <w:pPr>
              <w:pStyle w:val="ConsPlusNormal"/>
            </w:pPr>
            <w:r>
              <w:t>улицы, дороги, проезды, площади, подъезды к домам, гостевые парковки</w:t>
            </w:r>
          </w:p>
        </w:tc>
        <w:tc>
          <w:tcPr>
            <w:tcW w:w="1191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0,52</w:t>
            </w:r>
          </w:p>
        </w:tc>
      </w:tr>
      <w:tr w:rsidR="00FA3E6C">
        <w:tc>
          <w:tcPr>
            <w:tcW w:w="510" w:type="dxa"/>
          </w:tcPr>
          <w:p w:rsidR="00FA3E6C" w:rsidRDefault="00FA3E6C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5046" w:type="dxa"/>
          </w:tcPr>
          <w:p w:rsidR="00FA3E6C" w:rsidRDefault="00FA3E6C">
            <w:pPr>
              <w:pStyle w:val="ConsPlusNormal"/>
            </w:pPr>
            <w:r>
              <w:t>Коэффициент застройки</w:t>
            </w:r>
          </w:p>
        </w:tc>
        <w:tc>
          <w:tcPr>
            <w:tcW w:w="1191" w:type="dxa"/>
          </w:tcPr>
          <w:p w:rsidR="00FA3E6C" w:rsidRDefault="00FA3E6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16</w:t>
            </w:r>
          </w:p>
        </w:tc>
      </w:tr>
      <w:tr w:rsidR="00FA3E6C">
        <w:tc>
          <w:tcPr>
            <w:tcW w:w="510" w:type="dxa"/>
          </w:tcPr>
          <w:p w:rsidR="00FA3E6C" w:rsidRDefault="00FA3E6C">
            <w:pPr>
              <w:pStyle w:val="ConsPlusNormal"/>
              <w:jc w:val="center"/>
            </w:pPr>
            <w:r>
              <w:lastRenderedPageBreak/>
              <w:t>1.4</w:t>
            </w:r>
          </w:p>
        </w:tc>
        <w:tc>
          <w:tcPr>
            <w:tcW w:w="5046" w:type="dxa"/>
          </w:tcPr>
          <w:p w:rsidR="00FA3E6C" w:rsidRDefault="00FA3E6C">
            <w:pPr>
              <w:pStyle w:val="ConsPlusNormal"/>
            </w:pPr>
            <w:r>
              <w:t>Коэффициент плотности застройки</w:t>
            </w:r>
          </w:p>
        </w:tc>
        <w:tc>
          <w:tcPr>
            <w:tcW w:w="119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2,4</w:t>
            </w:r>
          </w:p>
        </w:tc>
      </w:tr>
      <w:tr w:rsidR="00FA3E6C">
        <w:tc>
          <w:tcPr>
            <w:tcW w:w="510" w:type="dxa"/>
          </w:tcPr>
          <w:p w:rsidR="00FA3E6C" w:rsidRDefault="00FA3E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046" w:type="dxa"/>
          </w:tcPr>
          <w:p w:rsidR="00FA3E6C" w:rsidRDefault="00FA3E6C">
            <w:pPr>
              <w:pStyle w:val="ConsPlusNormal"/>
            </w:pPr>
            <w:r>
              <w:t>Население</w:t>
            </w:r>
          </w:p>
        </w:tc>
        <w:tc>
          <w:tcPr>
            <w:tcW w:w="119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53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10" w:type="dxa"/>
          </w:tcPr>
          <w:p w:rsidR="00FA3E6C" w:rsidRDefault="00FA3E6C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5046" w:type="dxa"/>
          </w:tcPr>
          <w:p w:rsidR="00FA3E6C" w:rsidRDefault="00FA3E6C">
            <w:pPr>
              <w:pStyle w:val="ConsPlusNormal"/>
            </w:pPr>
            <w:r>
              <w:t>Численность населения</w:t>
            </w:r>
          </w:p>
        </w:tc>
        <w:tc>
          <w:tcPr>
            <w:tcW w:w="1191" w:type="dxa"/>
          </w:tcPr>
          <w:p w:rsidR="00FA3E6C" w:rsidRDefault="00FA3E6C">
            <w:pPr>
              <w:pStyle w:val="ConsPlusNormal"/>
              <w:jc w:val="center"/>
            </w:pPr>
            <w:r>
              <w:t>тыс. чел.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734</w:t>
            </w:r>
          </w:p>
        </w:tc>
      </w:tr>
      <w:tr w:rsidR="00FA3E6C">
        <w:tc>
          <w:tcPr>
            <w:tcW w:w="510" w:type="dxa"/>
          </w:tcPr>
          <w:p w:rsidR="00FA3E6C" w:rsidRDefault="00FA3E6C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5046" w:type="dxa"/>
          </w:tcPr>
          <w:p w:rsidR="00FA3E6C" w:rsidRDefault="00FA3E6C">
            <w:pPr>
              <w:pStyle w:val="ConsPlusNormal"/>
            </w:pPr>
            <w:r>
              <w:t>Плотность населения</w:t>
            </w:r>
          </w:p>
        </w:tc>
        <w:tc>
          <w:tcPr>
            <w:tcW w:w="1191" w:type="dxa"/>
          </w:tcPr>
          <w:p w:rsidR="00FA3E6C" w:rsidRDefault="00FA3E6C">
            <w:pPr>
              <w:pStyle w:val="ConsPlusNormal"/>
              <w:jc w:val="center"/>
            </w:pPr>
            <w:r>
              <w:t>чел/га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517</w:t>
            </w:r>
          </w:p>
        </w:tc>
      </w:tr>
      <w:tr w:rsidR="00FA3E6C">
        <w:tc>
          <w:tcPr>
            <w:tcW w:w="510" w:type="dxa"/>
          </w:tcPr>
          <w:p w:rsidR="00FA3E6C" w:rsidRDefault="00FA3E6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046" w:type="dxa"/>
          </w:tcPr>
          <w:p w:rsidR="00FA3E6C" w:rsidRDefault="00FA3E6C">
            <w:pPr>
              <w:pStyle w:val="ConsPlusNormal"/>
            </w:pPr>
            <w:r>
              <w:t>Жилищный фонд</w:t>
            </w:r>
          </w:p>
        </w:tc>
        <w:tc>
          <w:tcPr>
            <w:tcW w:w="119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53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10" w:type="dxa"/>
          </w:tcPr>
          <w:p w:rsidR="00FA3E6C" w:rsidRDefault="00FA3E6C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5046" w:type="dxa"/>
          </w:tcPr>
          <w:p w:rsidR="00FA3E6C" w:rsidRDefault="00FA3E6C">
            <w:pPr>
              <w:pStyle w:val="ConsPlusNormal"/>
            </w:pPr>
            <w:r>
              <w:t>Общая площадь жилых домов</w:t>
            </w:r>
          </w:p>
        </w:tc>
        <w:tc>
          <w:tcPr>
            <w:tcW w:w="1191" w:type="dxa"/>
          </w:tcPr>
          <w:p w:rsidR="00FA3E6C" w:rsidRDefault="00FA3E6C">
            <w:pPr>
              <w:pStyle w:val="ConsPlusNormal"/>
              <w:jc w:val="center"/>
            </w:pPr>
            <w:r>
              <w:t>тыс. кв. м общей площади квартир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22,0</w:t>
            </w:r>
          </w:p>
        </w:tc>
      </w:tr>
      <w:tr w:rsidR="00FA3E6C">
        <w:tc>
          <w:tcPr>
            <w:tcW w:w="510" w:type="dxa"/>
          </w:tcPr>
          <w:p w:rsidR="00FA3E6C" w:rsidRDefault="00FA3E6C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5046" w:type="dxa"/>
          </w:tcPr>
          <w:p w:rsidR="00FA3E6C" w:rsidRDefault="00FA3E6C">
            <w:pPr>
              <w:pStyle w:val="ConsPlusNormal"/>
            </w:pPr>
            <w:r>
              <w:t>Средняя жилая этажность</w:t>
            </w:r>
          </w:p>
        </w:tc>
        <w:tc>
          <w:tcPr>
            <w:tcW w:w="1191" w:type="dxa"/>
          </w:tcPr>
          <w:p w:rsidR="00FA3E6C" w:rsidRDefault="00FA3E6C">
            <w:pPr>
              <w:pStyle w:val="ConsPlusNormal"/>
              <w:jc w:val="center"/>
            </w:pPr>
            <w:r>
              <w:t>этаж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14,5</w:t>
            </w:r>
          </w:p>
        </w:tc>
      </w:tr>
      <w:tr w:rsidR="00FA3E6C">
        <w:tc>
          <w:tcPr>
            <w:tcW w:w="510" w:type="dxa"/>
          </w:tcPr>
          <w:p w:rsidR="00FA3E6C" w:rsidRDefault="00FA3E6C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5046" w:type="dxa"/>
            <w:vAlign w:val="center"/>
          </w:tcPr>
          <w:p w:rsidR="00FA3E6C" w:rsidRDefault="00FA3E6C">
            <w:pPr>
              <w:pStyle w:val="ConsPlusNormal"/>
            </w:pPr>
            <w:r>
              <w:t>Новое жилищное строительство - общая поэтажная площадь</w:t>
            </w:r>
          </w:p>
        </w:tc>
        <w:tc>
          <w:tcPr>
            <w:tcW w:w="1191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34,0</w:t>
            </w:r>
          </w:p>
        </w:tc>
      </w:tr>
      <w:tr w:rsidR="00FA3E6C">
        <w:tc>
          <w:tcPr>
            <w:tcW w:w="510" w:type="dxa"/>
          </w:tcPr>
          <w:p w:rsidR="00FA3E6C" w:rsidRDefault="00FA3E6C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5046" w:type="dxa"/>
          </w:tcPr>
          <w:p w:rsidR="00FA3E6C" w:rsidRDefault="00FA3E6C">
            <w:pPr>
              <w:pStyle w:val="ConsPlusNormal"/>
            </w:pPr>
            <w:r>
              <w:t>Площадь застройки</w:t>
            </w:r>
          </w:p>
        </w:tc>
        <w:tc>
          <w:tcPr>
            <w:tcW w:w="1191" w:type="dxa"/>
          </w:tcPr>
          <w:p w:rsidR="00FA3E6C" w:rsidRDefault="00FA3E6C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0,23</w:t>
            </w:r>
          </w:p>
        </w:tc>
      </w:tr>
      <w:tr w:rsidR="00FA3E6C">
        <w:tc>
          <w:tcPr>
            <w:tcW w:w="510" w:type="dxa"/>
          </w:tcPr>
          <w:p w:rsidR="00FA3E6C" w:rsidRDefault="00FA3E6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046" w:type="dxa"/>
          </w:tcPr>
          <w:p w:rsidR="00FA3E6C" w:rsidRDefault="00FA3E6C">
            <w:pPr>
              <w:pStyle w:val="ConsPlusNormal"/>
            </w:pPr>
            <w:r>
              <w:t>Объекты социального и культурно-бытового обслуживания населения</w:t>
            </w:r>
          </w:p>
        </w:tc>
        <w:tc>
          <w:tcPr>
            <w:tcW w:w="119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53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10" w:type="dxa"/>
          </w:tcPr>
          <w:p w:rsidR="00FA3E6C" w:rsidRDefault="00FA3E6C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5046" w:type="dxa"/>
          </w:tcPr>
          <w:p w:rsidR="00FA3E6C" w:rsidRDefault="00FA3E6C">
            <w:pPr>
              <w:pStyle w:val="ConsPlusNormal"/>
            </w:pPr>
            <w:r>
              <w:t>Детские дошкольные учреждения - всего/1000 чел.</w:t>
            </w:r>
          </w:p>
        </w:tc>
        <w:tc>
          <w:tcPr>
            <w:tcW w:w="1191" w:type="dxa"/>
          </w:tcPr>
          <w:p w:rsidR="00FA3E6C" w:rsidRDefault="00FA3E6C">
            <w:pPr>
              <w:pStyle w:val="ConsPlusNormal"/>
              <w:jc w:val="center"/>
            </w:pPr>
            <w:r>
              <w:t>мест</w:t>
            </w:r>
          </w:p>
        </w:tc>
        <w:tc>
          <w:tcPr>
            <w:tcW w:w="2835" w:type="dxa"/>
            <w:gridSpan w:val="2"/>
            <w:vMerge w:val="restart"/>
          </w:tcPr>
          <w:p w:rsidR="00FA3E6C" w:rsidRDefault="00FA3E6C">
            <w:pPr>
              <w:pStyle w:val="ConsPlusNormal"/>
              <w:jc w:val="center"/>
            </w:pPr>
            <w:r>
              <w:t>Встроенно-пристроенное детское учреждение на 60 мест и на смежных территориях</w:t>
            </w:r>
          </w:p>
        </w:tc>
      </w:tr>
      <w:tr w:rsidR="00FA3E6C">
        <w:tc>
          <w:tcPr>
            <w:tcW w:w="510" w:type="dxa"/>
          </w:tcPr>
          <w:p w:rsidR="00FA3E6C" w:rsidRDefault="00FA3E6C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5046" w:type="dxa"/>
          </w:tcPr>
          <w:p w:rsidR="00FA3E6C" w:rsidRDefault="00FA3E6C">
            <w:pPr>
              <w:pStyle w:val="ConsPlusNormal"/>
            </w:pPr>
            <w:r>
              <w:t>Общеобразовательные школы - всего/1000 чел.</w:t>
            </w:r>
          </w:p>
        </w:tc>
        <w:tc>
          <w:tcPr>
            <w:tcW w:w="1191" w:type="dxa"/>
          </w:tcPr>
          <w:p w:rsidR="00FA3E6C" w:rsidRDefault="00FA3E6C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2835" w:type="dxa"/>
            <w:gridSpan w:val="2"/>
            <w:vMerge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10" w:type="dxa"/>
          </w:tcPr>
          <w:p w:rsidR="00FA3E6C" w:rsidRDefault="00FA3E6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046" w:type="dxa"/>
          </w:tcPr>
          <w:p w:rsidR="00FA3E6C" w:rsidRDefault="00FA3E6C">
            <w:pPr>
              <w:pStyle w:val="ConsPlusNormal"/>
            </w:pPr>
            <w:r>
              <w:t>Транспортная инфраструктура</w:t>
            </w:r>
          </w:p>
        </w:tc>
        <w:tc>
          <w:tcPr>
            <w:tcW w:w="119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531" w:type="dxa"/>
          </w:tcPr>
          <w:p w:rsidR="00FA3E6C" w:rsidRDefault="00FA3E6C">
            <w:pPr>
              <w:pStyle w:val="ConsPlusNormal"/>
            </w:pPr>
          </w:p>
        </w:tc>
        <w:tc>
          <w:tcPr>
            <w:tcW w:w="1304" w:type="dxa"/>
          </w:tcPr>
          <w:p w:rsidR="00FA3E6C" w:rsidRDefault="00FA3E6C">
            <w:pPr>
              <w:pStyle w:val="ConsPlusNormal"/>
            </w:pPr>
          </w:p>
        </w:tc>
      </w:tr>
      <w:tr w:rsidR="00FA3E6C">
        <w:tc>
          <w:tcPr>
            <w:tcW w:w="510" w:type="dxa"/>
          </w:tcPr>
          <w:p w:rsidR="00FA3E6C" w:rsidRDefault="00FA3E6C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5046" w:type="dxa"/>
          </w:tcPr>
          <w:p w:rsidR="00FA3E6C" w:rsidRDefault="00FA3E6C">
            <w:pPr>
              <w:pStyle w:val="ConsPlusNormal"/>
            </w:pPr>
            <w:r>
              <w:t>Гаражи для хранения легковых автомобилей проектируемых жилых домов</w:t>
            </w:r>
          </w:p>
        </w:tc>
        <w:tc>
          <w:tcPr>
            <w:tcW w:w="1191" w:type="dxa"/>
          </w:tcPr>
          <w:p w:rsidR="00FA3E6C" w:rsidRDefault="00FA3E6C">
            <w:pPr>
              <w:pStyle w:val="ConsPlusNormal"/>
              <w:jc w:val="center"/>
            </w:pPr>
            <w:r>
              <w:t>маш.-мест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440</w:t>
            </w:r>
          </w:p>
        </w:tc>
      </w:tr>
      <w:tr w:rsidR="00FA3E6C">
        <w:tc>
          <w:tcPr>
            <w:tcW w:w="510" w:type="dxa"/>
          </w:tcPr>
          <w:p w:rsidR="00FA3E6C" w:rsidRDefault="00FA3E6C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5046" w:type="dxa"/>
          </w:tcPr>
          <w:p w:rsidR="00FA3E6C" w:rsidRDefault="00FA3E6C">
            <w:pPr>
              <w:pStyle w:val="ConsPlusNormal"/>
            </w:pPr>
            <w:r>
              <w:t>Временные (гостевые) парковки</w:t>
            </w:r>
          </w:p>
        </w:tc>
        <w:tc>
          <w:tcPr>
            <w:tcW w:w="1191" w:type="dxa"/>
          </w:tcPr>
          <w:p w:rsidR="00FA3E6C" w:rsidRDefault="00FA3E6C">
            <w:pPr>
              <w:pStyle w:val="ConsPlusNormal"/>
              <w:jc w:val="center"/>
            </w:pPr>
            <w:r>
              <w:t>маш.-мест</w:t>
            </w:r>
          </w:p>
        </w:tc>
        <w:tc>
          <w:tcPr>
            <w:tcW w:w="1531" w:type="dxa"/>
          </w:tcPr>
          <w:p w:rsidR="00FA3E6C" w:rsidRDefault="00FA3E6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4" w:type="dxa"/>
          </w:tcPr>
          <w:p w:rsidR="00FA3E6C" w:rsidRDefault="00FA3E6C">
            <w:pPr>
              <w:pStyle w:val="ConsPlusNormal"/>
              <w:jc w:val="center"/>
            </w:pPr>
            <w:r>
              <w:t>120</w:t>
            </w:r>
          </w:p>
        </w:tc>
      </w:tr>
    </w:tbl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right"/>
      </w:pPr>
      <w:r>
        <w:t>Руководитель управления</w:t>
      </w:r>
    </w:p>
    <w:p w:rsidR="00FA3E6C" w:rsidRDefault="00FA3E6C">
      <w:pPr>
        <w:pStyle w:val="ConsPlusNormal"/>
        <w:jc w:val="right"/>
      </w:pPr>
      <w:r>
        <w:t>главного архитектора городского округа</w:t>
      </w:r>
    </w:p>
    <w:p w:rsidR="00FA3E6C" w:rsidRDefault="00FA3E6C">
      <w:pPr>
        <w:pStyle w:val="ConsPlusNormal"/>
        <w:jc w:val="right"/>
      </w:pPr>
      <w:r>
        <w:t>А.В.ШЕВЕЛЕВ</w:t>
      </w: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jc w:val="both"/>
      </w:pPr>
    </w:p>
    <w:p w:rsidR="00FA3E6C" w:rsidRDefault="00FA3E6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27047" w:rsidRDefault="00327047">
      <w:bookmarkStart w:id="9" w:name="_GoBack"/>
      <w:bookmarkEnd w:id="9"/>
    </w:p>
    <w:sectPr w:rsidR="00327047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E6C"/>
    <w:rsid w:val="00327047"/>
    <w:rsid w:val="00FA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3E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3E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A3E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A3E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A3E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A3E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A3E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FA3E6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3E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3E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A3E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A3E6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A3E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A3E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A3E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FA3E6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181&amp;n=64762&amp;dst=100037" TargetMode="External"/><Relationship Id="rId18" Type="http://schemas.openxmlformats.org/officeDocument/2006/relationships/hyperlink" Target="https://login.consultant.ru/link/?req=doc&amp;base=RLAW181&amp;n=63577&amp;dst=100005" TargetMode="External"/><Relationship Id="rId26" Type="http://schemas.openxmlformats.org/officeDocument/2006/relationships/hyperlink" Target="https://login.consultant.ru/link/?req=doc&amp;base=RLAW181&amp;n=63577&amp;dst=100005" TargetMode="External"/><Relationship Id="rId21" Type="http://schemas.openxmlformats.org/officeDocument/2006/relationships/hyperlink" Target="https://login.consultant.ru/link/?req=doc&amp;base=RLAW181&amp;n=64762&amp;dst=101122" TargetMode="External"/><Relationship Id="rId34" Type="http://schemas.openxmlformats.org/officeDocument/2006/relationships/image" Target="media/image3.png"/><Relationship Id="rId7" Type="http://schemas.openxmlformats.org/officeDocument/2006/relationships/hyperlink" Target="https://login.consultant.ru/link/?req=doc&amp;base=LAW&amp;n=182163" TargetMode="External"/><Relationship Id="rId12" Type="http://schemas.openxmlformats.org/officeDocument/2006/relationships/hyperlink" Target="https://login.consultant.ru/link/?req=doc&amp;base=RLAW181&amp;n=63577&amp;dst=100005" TargetMode="External"/><Relationship Id="rId17" Type="http://schemas.openxmlformats.org/officeDocument/2006/relationships/hyperlink" Target="https://login.consultant.ru/link/?req=doc&amp;base=RLAW181&amp;n=64762&amp;dst=101122" TargetMode="External"/><Relationship Id="rId25" Type="http://schemas.openxmlformats.org/officeDocument/2006/relationships/hyperlink" Target="https://login.consultant.ru/link/?req=doc&amp;base=RLAW181&amp;n=51741&amp;dst=100009" TargetMode="External"/><Relationship Id="rId33" Type="http://schemas.openxmlformats.org/officeDocument/2006/relationships/image" Target="media/image2.png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1&amp;n=51741&amp;dst=100009" TargetMode="External"/><Relationship Id="rId20" Type="http://schemas.openxmlformats.org/officeDocument/2006/relationships/hyperlink" Target="https://login.consultant.ru/link/?req=doc&amp;base=RLAW181&amp;n=64762&amp;dst=100037" TargetMode="External"/><Relationship Id="rId29" Type="http://schemas.openxmlformats.org/officeDocument/2006/relationships/hyperlink" Target="https://login.consultant.ru/link/?req=doc&amp;base=RLAW181&amp;n=63577&amp;dst=10000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82755" TargetMode="External"/><Relationship Id="rId11" Type="http://schemas.openxmlformats.org/officeDocument/2006/relationships/hyperlink" Target="https://login.consultant.ru/link/?req=doc&amp;base=RLAW181&amp;n=46430" TargetMode="External"/><Relationship Id="rId24" Type="http://schemas.openxmlformats.org/officeDocument/2006/relationships/image" Target="media/image1.png"/><Relationship Id="rId32" Type="http://schemas.openxmlformats.org/officeDocument/2006/relationships/hyperlink" Target="https://login.consultant.ru/link/?req=doc&amp;base=RLAW181&amp;n=63577&amp;dst=100005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63058&amp;dst=100010" TargetMode="External"/><Relationship Id="rId23" Type="http://schemas.openxmlformats.org/officeDocument/2006/relationships/hyperlink" Target="https://login.consultant.ru/link/?req=doc&amp;base=LAW&amp;n=182925" TargetMode="External"/><Relationship Id="rId28" Type="http://schemas.openxmlformats.org/officeDocument/2006/relationships/hyperlink" Target="https://login.consultant.ru/link/?req=doc&amp;base=RLAW181&amp;n=63577&amp;dst=100005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181&amp;n=46430" TargetMode="External"/><Relationship Id="rId19" Type="http://schemas.openxmlformats.org/officeDocument/2006/relationships/hyperlink" Target="https://login.consultant.ru/link/?req=doc&amp;base=RLAW181&amp;n=51741&amp;dst=100009" TargetMode="External"/><Relationship Id="rId31" Type="http://schemas.openxmlformats.org/officeDocument/2006/relationships/hyperlink" Target="https://login.consultant.ru/link/?req=doc&amp;base=RLAW181&amp;n=51741&amp;dst=10027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63577&amp;dst=100005" TargetMode="External"/><Relationship Id="rId14" Type="http://schemas.openxmlformats.org/officeDocument/2006/relationships/hyperlink" Target="https://login.consultant.ru/link/?req=doc&amp;base=LAW&amp;n=182755" TargetMode="External"/><Relationship Id="rId22" Type="http://schemas.openxmlformats.org/officeDocument/2006/relationships/hyperlink" Target="https://login.consultant.ru/link/?req=doc&amp;base=RLAW181&amp;n=51741&amp;dst=100055" TargetMode="External"/><Relationship Id="rId27" Type="http://schemas.openxmlformats.org/officeDocument/2006/relationships/hyperlink" Target="https://login.consultant.ru/link/?req=doc&amp;base=STR&amp;n=13879" TargetMode="External"/><Relationship Id="rId30" Type="http://schemas.openxmlformats.org/officeDocument/2006/relationships/hyperlink" Target="https://login.consultant.ru/link/?req=doc&amp;base=RLAW181&amp;n=51741&amp;dst=100009" TargetMode="External"/><Relationship Id="rId35" Type="http://schemas.openxmlformats.org/officeDocument/2006/relationships/image" Target="media/image4.png"/><Relationship Id="rId8" Type="http://schemas.openxmlformats.org/officeDocument/2006/relationships/hyperlink" Target="https://login.consultant.ru/link/?req=doc&amp;base=RLAW181&amp;n=62916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4425</Words>
  <Characters>25224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2026-02-24T09:49:00Z</dcterms:created>
  <dcterms:modified xsi:type="dcterms:W3CDTF">2026-02-24T09:49:00Z</dcterms:modified>
</cp:coreProperties>
</file>